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2528C">
      <w:pPr>
        <w:snapToGrid w:val="0"/>
        <w:spacing w:line="360" w:lineRule="auto"/>
        <w:ind w:firstLine="560"/>
        <w:rPr>
          <w:rFonts w:ascii="宋体" w:hAnsi="宋体"/>
          <w:sz w:val="28"/>
          <w:szCs w:val="28"/>
        </w:rPr>
      </w:pPr>
    </w:p>
    <w:p w14:paraId="44FDF770">
      <w:pPr>
        <w:snapToGrid w:val="0"/>
        <w:spacing w:line="360" w:lineRule="auto"/>
        <w:ind w:firstLine="560"/>
        <w:rPr>
          <w:rFonts w:ascii="宋体" w:hAnsi="宋体"/>
          <w:sz w:val="28"/>
          <w:szCs w:val="28"/>
        </w:rPr>
      </w:pPr>
    </w:p>
    <w:p w14:paraId="3914C9A4">
      <w:pPr>
        <w:snapToGrid w:val="0"/>
        <w:spacing w:line="360" w:lineRule="auto"/>
        <w:ind w:firstLine="560"/>
        <w:rPr>
          <w:rFonts w:ascii="宋体" w:hAnsi="宋体"/>
          <w:b/>
          <w:color w:val="000000"/>
          <w:szCs w:val="21"/>
          <w:u w:val="single"/>
        </w:rPr>
      </w:pPr>
    </w:p>
    <w:p w14:paraId="234519E7">
      <w:pPr>
        <w:snapToGrid w:val="0"/>
        <w:spacing w:after="120" w:line="360" w:lineRule="auto"/>
        <w:jc w:val="center"/>
        <w:rPr>
          <w:rFonts w:ascii="宋体" w:hAnsi="宋体"/>
          <w:color w:val="000000"/>
          <w:sz w:val="32"/>
          <w:szCs w:val="32"/>
        </w:rPr>
      </w:pPr>
      <w:r>
        <w:rPr>
          <w:rFonts w:hint="eastAsia" w:ascii="宋体" w:hAnsi="宋体"/>
          <w:color w:val="000000"/>
          <w:sz w:val="32"/>
          <w:szCs w:val="32"/>
        </w:rPr>
        <w:t>江苏省某单位设备100070招标项目</w:t>
      </w:r>
    </w:p>
    <w:p w14:paraId="058ED013">
      <w:pPr>
        <w:snapToGrid w:val="0"/>
        <w:spacing w:line="360" w:lineRule="auto"/>
        <w:jc w:val="center"/>
        <w:rPr>
          <w:rFonts w:ascii="宋体" w:hAnsi="宋体"/>
          <w:b/>
          <w:color w:val="000000"/>
          <w:szCs w:val="21"/>
          <w:u w:val="single"/>
        </w:rPr>
      </w:pPr>
    </w:p>
    <w:p w14:paraId="3F166368">
      <w:pPr>
        <w:snapToGrid w:val="0"/>
        <w:spacing w:line="360" w:lineRule="auto"/>
        <w:jc w:val="center"/>
        <w:rPr>
          <w:rFonts w:ascii="宋体" w:hAnsi="宋体"/>
          <w:b/>
          <w:color w:val="000000"/>
          <w:szCs w:val="21"/>
          <w:u w:val="single"/>
        </w:rPr>
      </w:pPr>
    </w:p>
    <w:p w14:paraId="3579312E">
      <w:pPr>
        <w:snapToGrid w:val="0"/>
        <w:spacing w:line="360" w:lineRule="auto"/>
        <w:jc w:val="center"/>
        <w:rPr>
          <w:rFonts w:ascii="宋体" w:hAnsi="宋体"/>
          <w:b/>
          <w:color w:val="000000"/>
          <w:szCs w:val="21"/>
          <w:u w:val="single"/>
        </w:rPr>
      </w:pPr>
    </w:p>
    <w:p w14:paraId="36A995EC">
      <w:pPr>
        <w:snapToGrid w:val="0"/>
        <w:spacing w:after="120" w:line="360" w:lineRule="auto"/>
        <w:jc w:val="center"/>
        <w:rPr>
          <w:rFonts w:ascii="宋体" w:hAnsi="宋体"/>
          <w:color w:val="000000"/>
          <w:sz w:val="52"/>
          <w:szCs w:val="36"/>
        </w:rPr>
      </w:pPr>
      <w:r>
        <w:rPr>
          <w:rFonts w:hint="eastAsia" w:ascii="宋体" w:hAnsi="宋体"/>
          <w:color w:val="000000"/>
          <w:sz w:val="52"/>
          <w:szCs w:val="36"/>
        </w:rPr>
        <w:t>招标文件</w:t>
      </w:r>
    </w:p>
    <w:p w14:paraId="337E464B">
      <w:pPr>
        <w:snapToGrid w:val="0"/>
        <w:spacing w:after="120" w:line="360" w:lineRule="auto"/>
        <w:jc w:val="center"/>
        <w:rPr>
          <w:rFonts w:ascii="宋体" w:hAnsi="宋体"/>
          <w:b/>
          <w:color w:val="000000"/>
          <w:sz w:val="32"/>
          <w:szCs w:val="32"/>
        </w:rPr>
      </w:pPr>
    </w:p>
    <w:p w14:paraId="7F76B225">
      <w:pPr>
        <w:snapToGrid w:val="0"/>
        <w:spacing w:after="120" w:line="360" w:lineRule="auto"/>
        <w:jc w:val="center"/>
        <w:rPr>
          <w:rFonts w:ascii="宋体" w:hAnsi="宋体"/>
          <w:b/>
          <w:color w:val="000000"/>
          <w:sz w:val="32"/>
          <w:szCs w:val="32"/>
        </w:rPr>
      </w:pPr>
    </w:p>
    <w:p w14:paraId="5EF2A8DC">
      <w:pPr>
        <w:snapToGrid w:val="0"/>
        <w:spacing w:after="120" w:line="360" w:lineRule="auto"/>
        <w:jc w:val="center"/>
        <w:rPr>
          <w:rFonts w:ascii="宋体" w:hAnsi="宋体"/>
          <w:b/>
          <w:color w:val="000000"/>
          <w:sz w:val="32"/>
          <w:szCs w:val="32"/>
        </w:rPr>
      </w:pPr>
    </w:p>
    <w:p w14:paraId="4F1609E7">
      <w:pPr>
        <w:snapToGrid w:val="0"/>
        <w:spacing w:after="120" w:line="360" w:lineRule="auto"/>
        <w:jc w:val="center"/>
        <w:rPr>
          <w:rFonts w:ascii="宋体" w:hAnsi="宋体"/>
          <w:b/>
          <w:color w:val="000000"/>
          <w:sz w:val="32"/>
          <w:szCs w:val="32"/>
        </w:rPr>
      </w:pPr>
    </w:p>
    <w:p w14:paraId="0D180B3D">
      <w:pPr>
        <w:snapToGrid w:val="0"/>
        <w:spacing w:after="120" w:line="360" w:lineRule="auto"/>
        <w:jc w:val="center"/>
        <w:rPr>
          <w:rFonts w:ascii="宋体" w:hAnsi="宋体"/>
          <w:b/>
          <w:color w:val="000000"/>
          <w:sz w:val="32"/>
          <w:szCs w:val="32"/>
        </w:rPr>
      </w:pPr>
    </w:p>
    <w:p w14:paraId="245B5EB5">
      <w:pPr>
        <w:snapToGrid w:val="0"/>
        <w:spacing w:after="120" w:line="360" w:lineRule="auto"/>
        <w:jc w:val="center"/>
        <w:rPr>
          <w:rFonts w:ascii="宋体" w:hAnsi="宋体"/>
          <w:b/>
          <w:color w:val="000000"/>
          <w:sz w:val="32"/>
          <w:szCs w:val="32"/>
        </w:rPr>
      </w:pPr>
    </w:p>
    <w:p w14:paraId="7AF8D101">
      <w:pPr>
        <w:snapToGrid w:val="0"/>
        <w:spacing w:after="120" w:line="360" w:lineRule="auto"/>
        <w:jc w:val="center"/>
        <w:rPr>
          <w:rFonts w:ascii="宋体" w:hAnsi="宋体"/>
          <w:b/>
          <w:color w:val="000000"/>
          <w:sz w:val="32"/>
          <w:szCs w:val="32"/>
        </w:rPr>
      </w:pPr>
    </w:p>
    <w:p w14:paraId="3CC9CDAE">
      <w:pPr>
        <w:snapToGrid w:val="0"/>
        <w:spacing w:after="120" w:line="360" w:lineRule="auto"/>
        <w:jc w:val="center"/>
        <w:rPr>
          <w:rFonts w:ascii="宋体" w:hAnsi="宋体"/>
          <w:color w:val="000000"/>
          <w:sz w:val="24"/>
          <w:u w:val="single"/>
        </w:rPr>
      </w:pPr>
      <w:r>
        <w:rPr>
          <w:rFonts w:hint="eastAsia" w:ascii="宋体" w:hAnsi="宋体"/>
          <w:color w:val="000000"/>
          <w:sz w:val="24"/>
        </w:rPr>
        <w:t>招标人：</w:t>
      </w:r>
      <w:r>
        <w:rPr>
          <w:rFonts w:hint="eastAsia" w:ascii="宋体" w:hAnsi="宋体"/>
          <w:color w:val="000000"/>
          <w:sz w:val="24"/>
          <w:u w:val="single"/>
        </w:rPr>
        <w:t>扬州北辰电气集团有限公司</w:t>
      </w:r>
    </w:p>
    <w:p w14:paraId="1896098B">
      <w:pPr>
        <w:snapToGrid w:val="0"/>
        <w:spacing w:after="120" w:line="360" w:lineRule="auto"/>
        <w:jc w:val="center"/>
        <w:rPr>
          <w:rFonts w:ascii="宋体" w:hAnsi="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701" w:bottom="1440" w:left="1701" w:header="851" w:footer="992" w:gutter="0"/>
          <w:pgNumType w:start="0"/>
          <w:cols w:space="425" w:num="1"/>
          <w:titlePg/>
          <w:docGrid w:type="linesAndChars" w:linePitch="380" w:charSpace="0"/>
        </w:sectPr>
      </w:pPr>
      <w:r>
        <w:rPr>
          <w:rFonts w:hint="eastAsia" w:ascii="宋体" w:hAnsi="宋体"/>
          <w:color w:val="000000"/>
          <w:sz w:val="24"/>
        </w:rPr>
        <w:t>2025年1</w:t>
      </w:r>
      <w:r>
        <w:rPr>
          <w:rFonts w:ascii="宋体" w:hAnsi="宋体"/>
          <w:color w:val="000000"/>
          <w:sz w:val="24"/>
        </w:rPr>
        <w:t>1</w:t>
      </w:r>
      <w:r>
        <w:rPr>
          <w:rFonts w:hint="eastAsia" w:ascii="宋体" w:hAnsi="宋体"/>
          <w:color w:val="000000"/>
          <w:sz w:val="24"/>
        </w:rPr>
        <w:t>月</w:t>
      </w:r>
    </w:p>
    <w:p w14:paraId="1402FBE6">
      <w:pPr>
        <w:snapToGrid w:val="0"/>
        <w:spacing w:line="360" w:lineRule="auto"/>
        <w:rPr>
          <w:rFonts w:ascii="宋体" w:hAnsi="宋体"/>
        </w:rPr>
      </w:pPr>
    </w:p>
    <w:sdt>
      <w:sdtPr>
        <w:rPr>
          <w:rFonts w:ascii="宋体" w:hAnsi="宋体" w:eastAsia="黑体"/>
          <w:caps/>
          <w:kern w:val="0"/>
          <w:szCs w:val="21"/>
        </w:rPr>
        <w:id w:val="147462006"/>
        <w:docPartObj>
          <w:docPartGallery w:val="Table of Contents"/>
          <w:docPartUnique/>
        </w:docPartObj>
      </w:sdtPr>
      <w:sdtEndPr>
        <w:rPr>
          <w:rFonts w:ascii="宋体" w:hAnsi="宋体" w:eastAsia="黑体"/>
          <w:caps/>
          <w:kern w:val="0"/>
          <w:szCs w:val="21"/>
        </w:rPr>
      </w:sdtEndPr>
      <w:sdtContent>
        <w:p w14:paraId="24F2C5D8">
          <w:pPr>
            <w:snapToGrid w:val="0"/>
            <w:spacing w:line="360" w:lineRule="auto"/>
            <w:jc w:val="center"/>
          </w:pPr>
          <w:r>
            <w:rPr>
              <w:rFonts w:ascii="宋体" w:hAnsi="宋体"/>
            </w:rPr>
            <w:t>目录</w:t>
          </w:r>
        </w:p>
        <w:p w14:paraId="7DFC0381">
          <w:pPr>
            <w:pStyle w:val="31"/>
            <w:tabs>
              <w:tab w:val="right" w:leader="dot" w:pos="8504"/>
              <w:tab w:val="clear" w:pos="851"/>
              <w:tab w:val="clear" w:pos="9072"/>
            </w:tabs>
          </w:pPr>
          <w:r>
            <w:fldChar w:fldCharType="begin"/>
          </w:r>
          <w:r>
            <w:instrText xml:space="preserve">TOC \o "1-3" \h \u </w:instrText>
          </w:r>
          <w:r>
            <w:fldChar w:fldCharType="separate"/>
          </w:r>
          <w:r>
            <w:fldChar w:fldCharType="begin"/>
          </w:r>
          <w:r>
            <w:instrText xml:space="preserve"> HYPERLINK \l "_Toc19332" </w:instrText>
          </w:r>
          <w:r>
            <w:fldChar w:fldCharType="separate"/>
          </w:r>
          <w:r>
            <w:rPr>
              <w:rFonts w:hint="eastAsia" w:ascii="宋体" w:hAnsi="宋体" w:eastAsia="宋体"/>
            </w:rPr>
            <w:t>第一章 招标公告</w:t>
          </w:r>
          <w:r>
            <w:tab/>
          </w:r>
          <w:r>
            <w:fldChar w:fldCharType="begin"/>
          </w:r>
          <w:r>
            <w:instrText xml:space="preserve"> PAGEREF _Toc19332 \h </w:instrText>
          </w:r>
          <w:r>
            <w:fldChar w:fldCharType="separate"/>
          </w:r>
          <w:r>
            <w:t>3</w:t>
          </w:r>
          <w:r>
            <w:fldChar w:fldCharType="end"/>
          </w:r>
          <w:r>
            <w:fldChar w:fldCharType="end"/>
          </w:r>
        </w:p>
        <w:p w14:paraId="0A33C037">
          <w:pPr>
            <w:pStyle w:val="35"/>
            <w:tabs>
              <w:tab w:val="right" w:leader="dot" w:pos="8504"/>
              <w:tab w:val="clear" w:pos="9540"/>
            </w:tabs>
          </w:pPr>
          <w:r>
            <w:fldChar w:fldCharType="begin"/>
          </w:r>
          <w:r>
            <w:instrText xml:space="preserve"> HYPERLINK \l "_Toc27531" </w:instrText>
          </w:r>
          <w:r>
            <w:fldChar w:fldCharType="separate"/>
          </w:r>
          <w:r>
            <w:rPr>
              <w:rFonts w:hint="eastAsia"/>
              <w:szCs w:val="21"/>
            </w:rPr>
            <w:t>1.1 招标邀请</w:t>
          </w:r>
          <w:r>
            <w:tab/>
          </w:r>
          <w:r>
            <w:fldChar w:fldCharType="begin"/>
          </w:r>
          <w:r>
            <w:instrText xml:space="preserve"> PAGEREF _Toc27531 \h </w:instrText>
          </w:r>
          <w:r>
            <w:fldChar w:fldCharType="separate"/>
          </w:r>
          <w:r>
            <w:t>3</w:t>
          </w:r>
          <w:r>
            <w:fldChar w:fldCharType="end"/>
          </w:r>
          <w:r>
            <w:fldChar w:fldCharType="end"/>
          </w:r>
        </w:p>
        <w:p w14:paraId="7715FFD2">
          <w:pPr>
            <w:pStyle w:val="31"/>
            <w:tabs>
              <w:tab w:val="right" w:leader="dot" w:pos="8504"/>
              <w:tab w:val="clear" w:pos="851"/>
              <w:tab w:val="clear" w:pos="9072"/>
            </w:tabs>
          </w:pPr>
          <w:r>
            <w:fldChar w:fldCharType="begin"/>
          </w:r>
          <w:r>
            <w:instrText xml:space="preserve"> HYPERLINK \l "_Toc30918" </w:instrText>
          </w:r>
          <w:r>
            <w:fldChar w:fldCharType="separate"/>
          </w:r>
          <w:r>
            <w:rPr>
              <w:rFonts w:hint="eastAsia" w:ascii="宋体" w:hAnsi="宋体" w:eastAsia="宋体"/>
            </w:rPr>
            <w:t xml:space="preserve">第二章 </w:t>
          </w:r>
          <w:r>
            <w:rPr>
              <w:rFonts w:ascii="宋体" w:hAnsi="宋体" w:eastAsia="宋体"/>
            </w:rPr>
            <w:t>应答人须知</w:t>
          </w:r>
          <w:r>
            <w:tab/>
          </w:r>
          <w:r>
            <w:fldChar w:fldCharType="begin"/>
          </w:r>
          <w:r>
            <w:instrText xml:space="preserve"> PAGEREF _Toc30918 \h </w:instrText>
          </w:r>
          <w:r>
            <w:fldChar w:fldCharType="separate"/>
          </w:r>
          <w:r>
            <w:t>5</w:t>
          </w:r>
          <w:r>
            <w:fldChar w:fldCharType="end"/>
          </w:r>
          <w:r>
            <w:fldChar w:fldCharType="end"/>
          </w:r>
        </w:p>
        <w:p w14:paraId="21CF6812">
          <w:pPr>
            <w:pStyle w:val="35"/>
            <w:tabs>
              <w:tab w:val="right" w:leader="dot" w:pos="8504"/>
              <w:tab w:val="clear" w:pos="9540"/>
            </w:tabs>
          </w:pPr>
          <w:r>
            <w:fldChar w:fldCharType="begin"/>
          </w:r>
          <w:r>
            <w:instrText xml:space="preserve"> HYPERLINK \l "_Toc22739" </w:instrText>
          </w:r>
          <w:r>
            <w:fldChar w:fldCharType="separate"/>
          </w:r>
          <w:r>
            <w:rPr>
              <w:rFonts w:hint="eastAsia"/>
              <w:szCs w:val="21"/>
            </w:rPr>
            <w:t>应答人须知前附表</w:t>
          </w:r>
          <w:r>
            <w:tab/>
          </w:r>
          <w:r>
            <w:fldChar w:fldCharType="begin"/>
          </w:r>
          <w:r>
            <w:instrText xml:space="preserve"> PAGEREF _Toc22739 \h </w:instrText>
          </w:r>
          <w:r>
            <w:fldChar w:fldCharType="separate"/>
          </w:r>
          <w:r>
            <w:t>5</w:t>
          </w:r>
          <w:r>
            <w:fldChar w:fldCharType="end"/>
          </w:r>
          <w:r>
            <w:fldChar w:fldCharType="end"/>
          </w:r>
        </w:p>
        <w:p w14:paraId="1038A409">
          <w:pPr>
            <w:pStyle w:val="35"/>
            <w:tabs>
              <w:tab w:val="right" w:leader="dot" w:pos="8504"/>
              <w:tab w:val="clear" w:pos="9540"/>
            </w:tabs>
          </w:pPr>
          <w:r>
            <w:fldChar w:fldCharType="begin"/>
          </w:r>
          <w:r>
            <w:instrText xml:space="preserve"> HYPERLINK \l "_Toc29278" </w:instrText>
          </w:r>
          <w:r>
            <w:fldChar w:fldCharType="separate"/>
          </w:r>
          <w:r>
            <w:rPr>
              <w:rFonts w:hint="eastAsia"/>
              <w:szCs w:val="21"/>
            </w:rPr>
            <w:t>2.1 招标人及项目名称</w:t>
          </w:r>
          <w:r>
            <w:tab/>
          </w:r>
          <w:r>
            <w:fldChar w:fldCharType="begin"/>
          </w:r>
          <w:r>
            <w:instrText xml:space="preserve"> PAGEREF _Toc29278 \h </w:instrText>
          </w:r>
          <w:r>
            <w:fldChar w:fldCharType="separate"/>
          </w:r>
          <w:r>
            <w:t>13</w:t>
          </w:r>
          <w:r>
            <w:fldChar w:fldCharType="end"/>
          </w:r>
          <w:r>
            <w:fldChar w:fldCharType="end"/>
          </w:r>
        </w:p>
        <w:p w14:paraId="0AAEF34E">
          <w:pPr>
            <w:pStyle w:val="35"/>
            <w:tabs>
              <w:tab w:val="right" w:leader="dot" w:pos="8504"/>
              <w:tab w:val="clear" w:pos="9540"/>
            </w:tabs>
          </w:pPr>
          <w:r>
            <w:fldChar w:fldCharType="begin"/>
          </w:r>
          <w:r>
            <w:instrText xml:space="preserve"> HYPERLINK \l "_Toc17880" </w:instrText>
          </w:r>
          <w:r>
            <w:fldChar w:fldCharType="separate"/>
          </w:r>
          <w:r>
            <w:rPr>
              <w:rFonts w:hint="eastAsia"/>
              <w:szCs w:val="21"/>
            </w:rPr>
            <w:t>2.2 项目的确定和资金来源</w:t>
          </w:r>
          <w:r>
            <w:tab/>
          </w:r>
          <w:r>
            <w:fldChar w:fldCharType="begin"/>
          </w:r>
          <w:r>
            <w:instrText xml:space="preserve"> PAGEREF _Toc17880 \h </w:instrText>
          </w:r>
          <w:r>
            <w:fldChar w:fldCharType="separate"/>
          </w:r>
          <w:r>
            <w:t>13</w:t>
          </w:r>
          <w:r>
            <w:fldChar w:fldCharType="end"/>
          </w:r>
          <w:r>
            <w:fldChar w:fldCharType="end"/>
          </w:r>
        </w:p>
        <w:p w14:paraId="76EE169D">
          <w:pPr>
            <w:pStyle w:val="35"/>
            <w:tabs>
              <w:tab w:val="right" w:leader="dot" w:pos="8504"/>
              <w:tab w:val="clear" w:pos="9540"/>
            </w:tabs>
          </w:pPr>
          <w:r>
            <w:fldChar w:fldCharType="begin"/>
          </w:r>
          <w:r>
            <w:instrText xml:space="preserve"> HYPERLINK \l "_Toc17289" </w:instrText>
          </w:r>
          <w:r>
            <w:fldChar w:fldCharType="separate"/>
          </w:r>
          <w:r>
            <w:rPr>
              <w:rFonts w:hint="eastAsia"/>
              <w:szCs w:val="21"/>
            </w:rPr>
            <w:t>2.3 招标</w:t>
          </w:r>
          <w:r>
            <w:rPr>
              <w:szCs w:val="21"/>
            </w:rPr>
            <w:t>的组织形式</w:t>
          </w:r>
          <w:r>
            <w:tab/>
          </w:r>
          <w:r>
            <w:fldChar w:fldCharType="begin"/>
          </w:r>
          <w:r>
            <w:instrText xml:space="preserve"> PAGEREF _Toc17289 \h </w:instrText>
          </w:r>
          <w:r>
            <w:fldChar w:fldCharType="separate"/>
          </w:r>
          <w:r>
            <w:t>13</w:t>
          </w:r>
          <w:r>
            <w:fldChar w:fldCharType="end"/>
          </w:r>
          <w:r>
            <w:fldChar w:fldCharType="end"/>
          </w:r>
        </w:p>
        <w:p w14:paraId="1602A24C">
          <w:pPr>
            <w:pStyle w:val="35"/>
            <w:tabs>
              <w:tab w:val="right" w:leader="dot" w:pos="8504"/>
              <w:tab w:val="clear" w:pos="9540"/>
            </w:tabs>
          </w:pPr>
          <w:r>
            <w:fldChar w:fldCharType="begin"/>
          </w:r>
          <w:r>
            <w:instrText xml:space="preserve"> HYPERLINK \l "_Toc6349" </w:instrText>
          </w:r>
          <w:r>
            <w:fldChar w:fldCharType="separate"/>
          </w:r>
          <w:r>
            <w:rPr>
              <w:rFonts w:hint="eastAsia"/>
              <w:szCs w:val="21"/>
            </w:rPr>
            <w:t>2.4 招标</w:t>
          </w:r>
          <w:r>
            <w:rPr>
              <w:szCs w:val="21"/>
            </w:rPr>
            <w:t>方式</w:t>
          </w:r>
          <w:r>
            <w:tab/>
          </w:r>
          <w:r>
            <w:fldChar w:fldCharType="begin"/>
          </w:r>
          <w:r>
            <w:instrText xml:space="preserve"> PAGEREF _Toc6349 \h </w:instrText>
          </w:r>
          <w:r>
            <w:fldChar w:fldCharType="separate"/>
          </w:r>
          <w:r>
            <w:t>13</w:t>
          </w:r>
          <w:r>
            <w:fldChar w:fldCharType="end"/>
          </w:r>
          <w:r>
            <w:fldChar w:fldCharType="end"/>
          </w:r>
        </w:p>
        <w:p w14:paraId="11188415">
          <w:pPr>
            <w:pStyle w:val="35"/>
            <w:tabs>
              <w:tab w:val="right" w:leader="dot" w:pos="8504"/>
              <w:tab w:val="clear" w:pos="9540"/>
            </w:tabs>
          </w:pPr>
          <w:r>
            <w:fldChar w:fldCharType="begin"/>
          </w:r>
          <w:r>
            <w:instrText xml:space="preserve"> HYPERLINK \l "_Toc18926" </w:instrText>
          </w:r>
          <w:r>
            <w:fldChar w:fldCharType="separate"/>
          </w:r>
          <w:r>
            <w:rPr>
              <w:rFonts w:hint="eastAsia"/>
              <w:szCs w:val="21"/>
            </w:rPr>
            <w:t>2.5 资格审查</w:t>
          </w:r>
          <w:r>
            <w:tab/>
          </w:r>
          <w:r>
            <w:fldChar w:fldCharType="begin"/>
          </w:r>
          <w:r>
            <w:instrText xml:space="preserve"> PAGEREF _Toc18926 \h </w:instrText>
          </w:r>
          <w:r>
            <w:fldChar w:fldCharType="separate"/>
          </w:r>
          <w:r>
            <w:t>13</w:t>
          </w:r>
          <w:r>
            <w:fldChar w:fldCharType="end"/>
          </w:r>
          <w:r>
            <w:fldChar w:fldCharType="end"/>
          </w:r>
        </w:p>
        <w:p w14:paraId="2A77FCDB">
          <w:pPr>
            <w:pStyle w:val="35"/>
            <w:tabs>
              <w:tab w:val="right" w:leader="dot" w:pos="8504"/>
              <w:tab w:val="clear" w:pos="9540"/>
            </w:tabs>
          </w:pPr>
          <w:r>
            <w:fldChar w:fldCharType="begin"/>
          </w:r>
          <w:r>
            <w:instrText xml:space="preserve"> HYPERLINK \l "_Toc4081" </w:instrText>
          </w:r>
          <w:r>
            <w:fldChar w:fldCharType="separate"/>
          </w:r>
          <w:r>
            <w:rPr>
              <w:rFonts w:hint="eastAsia"/>
              <w:szCs w:val="21"/>
            </w:rPr>
            <w:t xml:space="preserve">2.6 </w:t>
          </w:r>
          <w:r>
            <w:rPr>
              <w:szCs w:val="21"/>
            </w:rPr>
            <w:t>合格的</w:t>
          </w:r>
          <w:r>
            <w:rPr>
              <w:rFonts w:hint="eastAsia"/>
              <w:szCs w:val="21"/>
            </w:rPr>
            <w:t>货物</w:t>
          </w:r>
          <w:r>
            <w:rPr>
              <w:szCs w:val="21"/>
            </w:rPr>
            <w:t>和服务</w:t>
          </w:r>
          <w:r>
            <w:tab/>
          </w:r>
          <w:r>
            <w:fldChar w:fldCharType="begin"/>
          </w:r>
          <w:r>
            <w:instrText xml:space="preserve"> PAGEREF _Toc4081 \h </w:instrText>
          </w:r>
          <w:r>
            <w:fldChar w:fldCharType="separate"/>
          </w:r>
          <w:r>
            <w:t>13</w:t>
          </w:r>
          <w:r>
            <w:fldChar w:fldCharType="end"/>
          </w:r>
          <w:r>
            <w:fldChar w:fldCharType="end"/>
          </w:r>
        </w:p>
        <w:p w14:paraId="1D9593F4">
          <w:pPr>
            <w:pStyle w:val="35"/>
            <w:tabs>
              <w:tab w:val="right" w:leader="dot" w:pos="8504"/>
              <w:tab w:val="clear" w:pos="9540"/>
            </w:tabs>
          </w:pPr>
          <w:r>
            <w:fldChar w:fldCharType="begin"/>
          </w:r>
          <w:r>
            <w:instrText xml:space="preserve"> HYPERLINK \l "_Toc11551" </w:instrText>
          </w:r>
          <w:r>
            <w:fldChar w:fldCharType="separate"/>
          </w:r>
          <w:r>
            <w:rPr>
              <w:rFonts w:hint="eastAsia"/>
              <w:szCs w:val="21"/>
            </w:rPr>
            <w:t xml:space="preserve">2.7 </w:t>
          </w:r>
          <w:r>
            <w:rPr>
              <w:szCs w:val="21"/>
            </w:rPr>
            <w:t>应答费用</w:t>
          </w:r>
          <w:r>
            <w:tab/>
          </w:r>
          <w:r>
            <w:fldChar w:fldCharType="begin"/>
          </w:r>
          <w:r>
            <w:instrText xml:space="preserve"> PAGEREF _Toc11551 \h </w:instrText>
          </w:r>
          <w:r>
            <w:fldChar w:fldCharType="separate"/>
          </w:r>
          <w:r>
            <w:t>14</w:t>
          </w:r>
          <w:r>
            <w:fldChar w:fldCharType="end"/>
          </w:r>
          <w:r>
            <w:fldChar w:fldCharType="end"/>
          </w:r>
        </w:p>
        <w:p w14:paraId="7E46CFB6">
          <w:pPr>
            <w:pStyle w:val="35"/>
            <w:tabs>
              <w:tab w:val="right" w:leader="dot" w:pos="8504"/>
              <w:tab w:val="clear" w:pos="9540"/>
            </w:tabs>
          </w:pPr>
          <w:r>
            <w:fldChar w:fldCharType="begin"/>
          </w:r>
          <w:r>
            <w:instrText xml:space="preserve"> HYPERLINK \l "_Toc21918" </w:instrText>
          </w:r>
          <w:r>
            <w:fldChar w:fldCharType="separate"/>
          </w:r>
          <w:r>
            <w:rPr>
              <w:rFonts w:hint="eastAsia"/>
              <w:szCs w:val="21"/>
            </w:rPr>
            <w:t>2.8 招标文件的组成</w:t>
          </w:r>
          <w:r>
            <w:tab/>
          </w:r>
          <w:r>
            <w:fldChar w:fldCharType="begin"/>
          </w:r>
          <w:r>
            <w:instrText xml:space="preserve"> PAGEREF _Toc21918 \h </w:instrText>
          </w:r>
          <w:r>
            <w:fldChar w:fldCharType="separate"/>
          </w:r>
          <w:r>
            <w:t>14</w:t>
          </w:r>
          <w:r>
            <w:fldChar w:fldCharType="end"/>
          </w:r>
          <w:r>
            <w:fldChar w:fldCharType="end"/>
          </w:r>
        </w:p>
        <w:p w14:paraId="7A11D0CC">
          <w:pPr>
            <w:pStyle w:val="35"/>
            <w:tabs>
              <w:tab w:val="right" w:leader="dot" w:pos="8504"/>
              <w:tab w:val="clear" w:pos="9540"/>
            </w:tabs>
          </w:pPr>
          <w:r>
            <w:fldChar w:fldCharType="begin"/>
          </w:r>
          <w:r>
            <w:instrText xml:space="preserve"> HYPERLINK \l "_Toc13047" </w:instrText>
          </w:r>
          <w:r>
            <w:fldChar w:fldCharType="separate"/>
          </w:r>
          <w:r>
            <w:rPr>
              <w:rFonts w:hint="eastAsia"/>
              <w:szCs w:val="21"/>
            </w:rPr>
            <w:t>2.9 应答</w:t>
          </w:r>
          <w:r>
            <w:rPr>
              <w:szCs w:val="21"/>
            </w:rPr>
            <w:t>预备会</w:t>
          </w:r>
          <w:r>
            <w:tab/>
          </w:r>
          <w:r>
            <w:fldChar w:fldCharType="begin"/>
          </w:r>
          <w:r>
            <w:instrText xml:space="preserve"> PAGEREF _Toc13047 \h </w:instrText>
          </w:r>
          <w:r>
            <w:fldChar w:fldCharType="separate"/>
          </w:r>
          <w:r>
            <w:t>14</w:t>
          </w:r>
          <w:r>
            <w:fldChar w:fldCharType="end"/>
          </w:r>
          <w:r>
            <w:fldChar w:fldCharType="end"/>
          </w:r>
        </w:p>
        <w:p w14:paraId="30E9B581">
          <w:pPr>
            <w:pStyle w:val="35"/>
            <w:tabs>
              <w:tab w:val="right" w:leader="dot" w:pos="8504"/>
              <w:tab w:val="clear" w:pos="9540"/>
            </w:tabs>
          </w:pPr>
          <w:r>
            <w:fldChar w:fldCharType="begin"/>
          </w:r>
          <w:r>
            <w:instrText xml:space="preserve"> HYPERLINK \l "_Toc20893" </w:instrText>
          </w:r>
          <w:r>
            <w:fldChar w:fldCharType="separate"/>
          </w:r>
          <w:r>
            <w:rPr>
              <w:rFonts w:hint="eastAsia"/>
              <w:szCs w:val="21"/>
            </w:rPr>
            <w:t>2.10 招标</w:t>
          </w:r>
          <w:r>
            <w:rPr>
              <w:szCs w:val="21"/>
            </w:rPr>
            <w:t>文件的澄清</w:t>
          </w:r>
          <w:r>
            <w:rPr>
              <w:rFonts w:hint="eastAsia"/>
              <w:szCs w:val="21"/>
            </w:rPr>
            <w:t>与修改</w:t>
          </w:r>
          <w:r>
            <w:tab/>
          </w:r>
          <w:r>
            <w:fldChar w:fldCharType="begin"/>
          </w:r>
          <w:r>
            <w:instrText xml:space="preserve"> PAGEREF _Toc20893 \h </w:instrText>
          </w:r>
          <w:r>
            <w:fldChar w:fldCharType="separate"/>
          </w:r>
          <w:r>
            <w:t>14</w:t>
          </w:r>
          <w:r>
            <w:fldChar w:fldCharType="end"/>
          </w:r>
          <w:r>
            <w:fldChar w:fldCharType="end"/>
          </w:r>
        </w:p>
        <w:p w14:paraId="68EC9B06">
          <w:pPr>
            <w:pStyle w:val="35"/>
            <w:tabs>
              <w:tab w:val="right" w:leader="dot" w:pos="8504"/>
              <w:tab w:val="clear" w:pos="9540"/>
            </w:tabs>
          </w:pPr>
          <w:r>
            <w:fldChar w:fldCharType="begin"/>
          </w:r>
          <w:r>
            <w:instrText xml:space="preserve"> HYPERLINK \l "_Toc24584" </w:instrText>
          </w:r>
          <w:r>
            <w:fldChar w:fldCharType="separate"/>
          </w:r>
          <w:r>
            <w:rPr>
              <w:rFonts w:hint="eastAsia"/>
              <w:szCs w:val="21"/>
            </w:rPr>
            <w:t xml:space="preserve">2.11 </w:t>
          </w:r>
          <w:r>
            <w:rPr>
              <w:szCs w:val="21"/>
            </w:rPr>
            <w:t>应答文件的编写</w:t>
          </w:r>
          <w:r>
            <w:tab/>
          </w:r>
          <w:r>
            <w:fldChar w:fldCharType="begin"/>
          </w:r>
          <w:r>
            <w:instrText xml:space="preserve"> PAGEREF _Toc24584 \h </w:instrText>
          </w:r>
          <w:r>
            <w:fldChar w:fldCharType="separate"/>
          </w:r>
          <w:r>
            <w:t>14</w:t>
          </w:r>
          <w:r>
            <w:fldChar w:fldCharType="end"/>
          </w:r>
          <w:r>
            <w:fldChar w:fldCharType="end"/>
          </w:r>
        </w:p>
        <w:p w14:paraId="09D1A734">
          <w:pPr>
            <w:pStyle w:val="35"/>
            <w:tabs>
              <w:tab w:val="right" w:leader="dot" w:pos="8504"/>
              <w:tab w:val="clear" w:pos="9540"/>
            </w:tabs>
          </w:pPr>
          <w:r>
            <w:fldChar w:fldCharType="begin"/>
          </w:r>
          <w:r>
            <w:instrText xml:space="preserve"> HYPERLINK \l "_Toc2656" </w:instrText>
          </w:r>
          <w:r>
            <w:fldChar w:fldCharType="separate"/>
          </w:r>
          <w:r>
            <w:rPr>
              <w:rFonts w:hint="eastAsia"/>
              <w:szCs w:val="21"/>
            </w:rPr>
            <w:t xml:space="preserve">2.12 </w:t>
          </w:r>
          <w:r>
            <w:rPr>
              <w:szCs w:val="21"/>
            </w:rPr>
            <w:t>应答文件的</w:t>
          </w:r>
          <w:r>
            <w:rPr>
              <w:rFonts w:hint="eastAsia"/>
              <w:szCs w:val="21"/>
            </w:rPr>
            <w:t>组成</w:t>
          </w:r>
          <w:r>
            <w:tab/>
          </w:r>
          <w:r>
            <w:fldChar w:fldCharType="begin"/>
          </w:r>
          <w:r>
            <w:instrText xml:space="preserve"> PAGEREF _Toc2656 \h </w:instrText>
          </w:r>
          <w:r>
            <w:fldChar w:fldCharType="separate"/>
          </w:r>
          <w:r>
            <w:t>15</w:t>
          </w:r>
          <w:r>
            <w:fldChar w:fldCharType="end"/>
          </w:r>
          <w:r>
            <w:fldChar w:fldCharType="end"/>
          </w:r>
        </w:p>
        <w:p w14:paraId="6800E092">
          <w:pPr>
            <w:pStyle w:val="35"/>
            <w:tabs>
              <w:tab w:val="right" w:leader="dot" w:pos="8504"/>
              <w:tab w:val="clear" w:pos="9540"/>
            </w:tabs>
          </w:pPr>
          <w:r>
            <w:fldChar w:fldCharType="begin"/>
          </w:r>
          <w:r>
            <w:instrText xml:space="preserve"> HYPERLINK \l "_Toc3201" </w:instrText>
          </w:r>
          <w:r>
            <w:fldChar w:fldCharType="separate"/>
          </w:r>
          <w:r>
            <w:rPr>
              <w:rFonts w:hint="eastAsia"/>
              <w:szCs w:val="21"/>
            </w:rPr>
            <w:t xml:space="preserve">2.13 </w:t>
          </w:r>
          <w:r>
            <w:rPr>
              <w:szCs w:val="21"/>
            </w:rPr>
            <w:t>关于优惠</w:t>
          </w:r>
          <w:r>
            <w:rPr>
              <w:rFonts w:hint="eastAsia"/>
              <w:szCs w:val="21"/>
            </w:rPr>
            <w:t>条件</w:t>
          </w:r>
          <w:r>
            <w:tab/>
          </w:r>
          <w:r>
            <w:fldChar w:fldCharType="begin"/>
          </w:r>
          <w:r>
            <w:instrText xml:space="preserve"> PAGEREF _Toc3201 \h </w:instrText>
          </w:r>
          <w:r>
            <w:fldChar w:fldCharType="separate"/>
          </w:r>
          <w:r>
            <w:t>15</w:t>
          </w:r>
          <w:r>
            <w:fldChar w:fldCharType="end"/>
          </w:r>
          <w:r>
            <w:fldChar w:fldCharType="end"/>
          </w:r>
        </w:p>
        <w:p w14:paraId="75CD97AB">
          <w:pPr>
            <w:pStyle w:val="35"/>
            <w:tabs>
              <w:tab w:val="right" w:leader="dot" w:pos="8504"/>
              <w:tab w:val="clear" w:pos="9540"/>
            </w:tabs>
          </w:pPr>
          <w:r>
            <w:fldChar w:fldCharType="begin"/>
          </w:r>
          <w:r>
            <w:instrText xml:space="preserve"> HYPERLINK \l "_Toc15570" </w:instrText>
          </w:r>
          <w:r>
            <w:fldChar w:fldCharType="separate"/>
          </w:r>
          <w:r>
            <w:rPr>
              <w:rFonts w:hint="eastAsia"/>
              <w:szCs w:val="21"/>
            </w:rPr>
            <w:t xml:space="preserve">2.14 </w:t>
          </w:r>
          <w:r>
            <w:rPr>
              <w:szCs w:val="21"/>
            </w:rPr>
            <w:t>应答报价</w:t>
          </w:r>
          <w:r>
            <w:tab/>
          </w:r>
          <w:r>
            <w:fldChar w:fldCharType="begin"/>
          </w:r>
          <w:r>
            <w:instrText xml:space="preserve"> PAGEREF _Toc15570 \h </w:instrText>
          </w:r>
          <w:r>
            <w:fldChar w:fldCharType="separate"/>
          </w:r>
          <w:r>
            <w:t>15</w:t>
          </w:r>
          <w:r>
            <w:fldChar w:fldCharType="end"/>
          </w:r>
          <w:r>
            <w:fldChar w:fldCharType="end"/>
          </w:r>
        </w:p>
        <w:p w14:paraId="4F424C4A">
          <w:pPr>
            <w:pStyle w:val="35"/>
            <w:tabs>
              <w:tab w:val="right" w:leader="dot" w:pos="8504"/>
              <w:tab w:val="clear" w:pos="9540"/>
            </w:tabs>
          </w:pPr>
          <w:r>
            <w:fldChar w:fldCharType="begin"/>
          </w:r>
          <w:r>
            <w:instrText xml:space="preserve"> HYPERLINK \l "_Toc6447" </w:instrText>
          </w:r>
          <w:r>
            <w:fldChar w:fldCharType="separate"/>
          </w:r>
          <w:r>
            <w:rPr>
              <w:rFonts w:hint="eastAsia"/>
              <w:szCs w:val="21"/>
            </w:rPr>
            <w:t xml:space="preserve">2.15 </w:t>
          </w:r>
          <w:r>
            <w:rPr>
              <w:szCs w:val="21"/>
            </w:rPr>
            <w:t>应答保证金</w:t>
          </w:r>
          <w:r>
            <w:tab/>
          </w:r>
          <w:r>
            <w:fldChar w:fldCharType="begin"/>
          </w:r>
          <w:r>
            <w:instrText xml:space="preserve"> PAGEREF _Toc6447 \h </w:instrText>
          </w:r>
          <w:r>
            <w:fldChar w:fldCharType="separate"/>
          </w:r>
          <w:r>
            <w:t>15</w:t>
          </w:r>
          <w:r>
            <w:fldChar w:fldCharType="end"/>
          </w:r>
          <w:r>
            <w:fldChar w:fldCharType="end"/>
          </w:r>
        </w:p>
        <w:p w14:paraId="4CE78D92">
          <w:pPr>
            <w:pStyle w:val="35"/>
            <w:tabs>
              <w:tab w:val="right" w:leader="dot" w:pos="8504"/>
              <w:tab w:val="clear" w:pos="9540"/>
            </w:tabs>
          </w:pPr>
          <w:r>
            <w:fldChar w:fldCharType="begin"/>
          </w:r>
          <w:r>
            <w:instrText xml:space="preserve"> HYPERLINK \l "_Toc18395" </w:instrText>
          </w:r>
          <w:r>
            <w:fldChar w:fldCharType="separate"/>
          </w:r>
          <w:r>
            <w:rPr>
              <w:rFonts w:hint="eastAsia"/>
              <w:szCs w:val="21"/>
            </w:rPr>
            <w:t xml:space="preserve">2.16 </w:t>
          </w:r>
          <w:r>
            <w:rPr>
              <w:szCs w:val="21"/>
            </w:rPr>
            <w:t>应答文件的有效期</w:t>
          </w:r>
          <w:r>
            <w:tab/>
          </w:r>
          <w:r>
            <w:fldChar w:fldCharType="begin"/>
          </w:r>
          <w:r>
            <w:instrText xml:space="preserve"> PAGEREF _Toc18395 \h </w:instrText>
          </w:r>
          <w:r>
            <w:fldChar w:fldCharType="separate"/>
          </w:r>
          <w:r>
            <w:t>16</w:t>
          </w:r>
          <w:r>
            <w:fldChar w:fldCharType="end"/>
          </w:r>
          <w:r>
            <w:fldChar w:fldCharType="end"/>
          </w:r>
        </w:p>
        <w:p w14:paraId="6DDBFEEA">
          <w:pPr>
            <w:pStyle w:val="35"/>
            <w:tabs>
              <w:tab w:val="right" w:leader="dot" w:pos="8504"/>
              <w:tab w:val="clear" w:pos="9540"/>
            </w:tabs>
          </w:pPr>
          <w:r>
            <w:fldChar w:fldCharType="begin"/>
          </w:r>
          <w:r>
            <w:instrText xml:space="preserve"> HYPERLINK \l "_Toc3455" </w:instrText>
          </w:r>
          <w:r>
            <w:fldChar w:fldCharType="separate"/>
          </w:r>
          <w:r>
            <w:rPr>
              <w:rFonts w:hint="eastAsia"/>
              <w:szCs w:val="21"/>
            </w:rPr>
            <w:t>2.17 备选应答方案</w:t>
          </w:r>
          <w:r>
            <w:tab/>
          </w:r>
          <w:r>
            <w:fldChar w:fldCharType="begin"/>
          </w:r>
          <w:r>
            <w:instrText xml:space="preserve"> PAGEREF _Toc3455 \h </w:instrText>
          </w:r>
          <w:r>
            <w:fldChar w:fldCharType="separate"/>
          </w:r>
          <w:r>
            <w:t>16</w:t>
          </w:r>
          <w:r>
            <w:fldChar w:fldCharType="end"/>
          </w:r>
          <w:r>
            <w:fldChar w:fldCharType="end"/>
          </w:r>
        </w:p>
        <w:p w14:paraId="7E0FACE6">
          <w:pPr>
            <w:pStyle w:val="35"/>
            <w:tabs>
              <w:tab w:val="right" w:leader="dot" w:pos="8504"/>
              <w:tab w:val="clear" w:pos="9540"/>
            </w:tabs>
          </w:pPr>
          <w:r>
            <w:fldChar w:fldCharType="begin"/>
          </w:r>
          <w:r>
            <w:instrText xml:space="preserve"> HYPERLINK \l "_Toc12491" </w:instrText>
          </w:r>
          <w:r>
            <w:fldChar w:fldCharType="separate"/>
          </w:r>
          <w:r>
            <w:rPr>
              <w:rFonts w:hint="eastAsia"/>
              <w:szCs w:val="21"/>
            </w:rPr>
            <w:t xml:space="preserve">2.18 </w:t>
          </w:r>
          <w:r>
            <w:rPr>
              <w:szCs w:val="21"/>
            </w:rPr>
            <w:t>应答文件的式样和签署</w:t>
          </w:r>
          <w:r>
            <w:tab/>
          </w:r>
          <w:r>
            <w:fldChar w:fldCharType="begin"/>
          </w:r>
          <w:r>
            <w:instrText xml:space="preserve"> PAGEREF _Toc12491 \h </w:instrText>
          </w:r>
          <w:r>
            <w:fldChar w:fldCharType="separate"/>
          </w:r>
          <w:r>
            <w:t>16</w:t>
          </w:r>
          <w:r>
            <w:fldChar w:fldCharType="end"/>
          </w:r>
          <w:r>
            <w:fldChar w:fldCharType="end"/>
          </w:r>
        </w:p>
        <w:p w14:paraId="56C69591">
          <w:pPr>
            <w:pStyle w:val="35"/>
            <w:tabs>
              <w:tab w:val="right" w:leader="dot" w:pos="8504"/>
              <w:tab w:val="clear" w:pos="9540"/>
            </w:tabs>
          </w:pPr>
          <w:r>
            <w:fldChar w:fldCharType="begin"/>
          </w:r>
          <w:r>
            <w:instrText xml:space="preserve"> HYPERLINK \l "_Toc28340" </w:instrText>
          </w:r>
          <w:r>
            <w:fldChar w:fldCharType="separate"/>
          </w:r>
          <w:r>
            <w:rPr>
              <w:rFonts w:hint="eastAsia"/>
              <w:szCs w:val="21"/>
            </w:rPr>
            <w:t xml:space="preserve">2.19 </w:t>
          </w:r>
          <w:r>
            <w:rPr>
              <w:szCs w:val="21"/>
            </w:rPr>
            <w:t>应答文件的密封和标记</w:t>
          </w:r>
          <w:r>
            <w:tab/>
          </w:r>
          <w:r>
            <w:fldChar w:fldCharType="begin"/>
          </w:r>
          <w:r>
            <w:instrText xml:space="preserve"> PAGEREF _Toc28340 \h </w:instrText>
          </w:r>
          <w:r>
            <w:fldChar w:fldCharType="separate"/>
          </w:r>
          <w:r>
            <w:t>16</w:t>
          </w:r>
          <w:r>
            <w:fldChar w:fldCharType="end"/>
          </w:r>
          <w:r>
            <w:fldChar w:fldCharType="end"/>
          </w:r>
        </w:p>
        <w:p w14:paraId="03D23AF8">
          <w:pPr>
            <w:pStyle w:val="35"/>
            <w:tabs>
              <w:tab w:val="right" w:leader="dot" w:pos="8504"/>
              <w:tab w:val="clear" w:pos="9540"/>
            </w:tabs>
          </w:pPr>
          <w:r>
            <w:fldChar w:fldCharType="begin"/>
          </w:r>
          <w:r>
            <w:instrText xml:space="preserve"> HYPERLINK \l "_Toc28737" </w:instrText>
          </w:r>
          <w:r>
            <w:fldChar w:fldCharType="separate"/>
          </w:r>
          <w:r>
            <w:rPr>
              <w:rFonts w:hint="eastAsia"/>
              <w:szCs w:val="21"/>
            </w:rPr>
            <w:t xml:space="preserve">2.20 </w:t>
          </w:r>
          <w:r>
            <w:rPr>
              <w:szCs w:val="21"/>
            </w:rPr>
            <w:t>应答</w:t>
          </w:r>
          <w:r>
            <w:rPr>
              <w:rFonts w:hint="eastAsia"/>
              <w:szCs w:val="21"/>
            </w:rPr>
            <w:t>文件的提交、送达</w:t>
          </w:r>
          <w:r>
            <w:tab/>
          </w:r>
          <w:r>
            <w:fldChar w:fldCharType="begin"/>
          </w:r>
          <w:r>
            <w:instrText xml:space="preserve"> PAGEREF _Toc28737 \h </w:instrText>
          </w:r>
          <w:r>
            <w:fldChar w:fldCharType="separate"/>
          </w:r>
          <w:r>
            <w:t>16</w:t>
          </w:r>
          <w:r>
            <w:fldChar w:fldCharType="end"/>
          </w:r>
          <w:r>
            <w:fldChar w:fldCharType="end"/>
          </w:r>
        </w:p>
        <w:p w14:paraId="71AEACBC">
          <w:pPr>
            <w:pStyle w:val="35"/>
            <w:tabs>
              <w:tab w:val="right" w:leader="dot" w:pos="8504"/>
              <w:tab w:val="clear" w:pos="9540"/>
            </w:tabs>
          </w:pPr>
          <w:r>
            <w:fldChar w:fldCharType="begin"/>
          </w:r>
          <w:r>
            <w:instrText xml:space="preserve"> HYPERLINK \l "_Toc25006" </w:instrText>
          </w:r>
          <w:r>
            <w:fldChar w:fldCharType="separate"/>
          </w:r>
          <w:r>
            <w:rPr>
              <w:rFonts w:hint="eastAsia"/>
              <w:szCs w:val="21"/>
            </w:rPr>
            <w:t xml:space="preserve">2.21 </w:t>
          </w:r>
          <w:r>
            <w:rPr>
              <w:szCs w:val="21"/>
            </w:rPr>
            <w:t>应答文件的修改和撤回</w:t>
          </w:r>
          <w:r>
            <w:tab/>
          </w:r>
          <w:r>
            <w:fldChar w:fldCharType="begin"/>
          </w:r>
          <w:r>
            <w:instrText xml:space="preserve"> PAGEREF _Toc25006 \h </w:instrText>
          </w:r>
          <w:r>
            <w:fldChar w:fldCharType="separate"/>
          </w:r>
          <w:r>
            <w:t>17</w:t>
          </w:r>
          <w:r>
            <w:fldChar w:fldCharType="end"/>
          </w:r>
          <w:r>
            <w:fldChar w:fldCharType="end"/>
          </w:r>
        </w:p>
        <w:p w14:paraId="02BDF0F1">
          <w:pPr>
            <w:pStyle w:val="35"/>
            <w:tabs>
              <w:tab w:val="right" w:leader="dot" w:pos="8504"/>
              <w:tab w:val="clear" w:pos="9540"/>
            </w:tabs>
          </w:pPr>
          <w:r>
            <w:fldChar w:fldCharType="begin"/>
          </w:r>
          <w:r>
            <w:instrText xml:space="preserve"> HYPERLINK \l "_Toc29529" </w:instrText>
          </w:r>
          <w:r>
            <w:fldChar w:fldCharType="separate"/>
          </w:r>
          <w:r>
            <w:rPr>
              <w:rFonts w:hint="eastAsia"/>
              <w:szCs w:val="21"/>
            </w:rPr>
            <w:t xml:space="preserve">2.22 </w:t>
          </w:r>
          <w:r>
            <w:rPr>
              <w:szCs w:val="21"/>
            </w:rPr>
            <w:t>公开唱价</w:t>
          </w:r>
          <w:r>
            <w:tab/>
          </w:r>
          <w:r>
            <w:fldChar w:fldCharType="begin"/>
          </w:r>
          <w:r>
            <w:instrText xml:space="preserve"> PAGEREF _Toc29529 \h </w:instrText>
          </w:r>
          <w:r>
            <w:fldChar w:fldCharType="separate"/>
          </w:r>
          <w:r>
            <w:t>17</w:t>
          </w:r>
          <w:r>
            <w:fldChar w:fldCharType="end"/>
          </w:r>
          <w:r>
            <w:fldChar w:fldCharType="end"/>
          </w:r>
        </w:p>
        <w:p w14:paraId="78F12454">
          <w:pPr>
            <w:pStyle w:val="35"/>
            <w:tabs>
              <w:tab w:val="right" w:leader="dot" w:pos="8504"/>
              <w:tab w:val="clear" w:pos="9540"/>
            </w:tabs>
          </w:pPr>
          <w:r>
            <w:fldChar w:fldCharType="begin"/>
          </w:r>
          <w:r>
            <w:instrText xml:space="preserve"> HYPERLINK \l "_Toc29678" </w:instrText>
          </w:r>
          <w:r>
            <w:fldChar w:fldCharType="separate"/>
          </w:r>
          <w:r>
            <w:rPr>
              <w:rFonts w:hint="eastAsia"/>
              <w:szCs w:val="21"/>
            </w:rPr>
            <w:t xml:space="preserve">2.23 </w:t>
          </w:r>
          <w:r>
            <w:rPr>
              <w:szCs w:val="21"/>
            </w:rPr>
            <w:t>评审</w:t>
          </w:r>
          <w:r>
            <w:rPr>
              <w:rFonts w:hint="eastAsia"/>
              <w:szCs w:val="21"/>
            </w:rPr>
            <w:t>委员会</w:t>
          </w:r>
          <w:r>
            <w:tab/>
          </w:r>
          <w:r>
            <w:fldChar w:fldCharType="begin"/>
          </w:r>
          <w:r>
            <w:instrText xml:space="preserve"> PAGEREF _Toc29678 \h </w:instrText>
          </w:r>
          <w:r>
            <w:fldChar w:fldCharType="separate"/>
          </w:r>
          <w:r>
            <w:t>17</w:t>
          </w:r>
          <w:r>
            <w:fldChar w:fldCharType="end"/>
          </w:r>
          <w:r>
            <w:fldChar w:fldCharType="end"/>
          </w:r>
        </w:p>
        <w:p w14:paraId="29F2AC85">
          <w:pPr>
            <w:pStyle w:val="35"/>
            <w:tabs>
              <w:tab w:val="right" w:leader="dot" w:pos="8504"/>
              <w:tab w:val="clear" w:pos="9540"/>
            </w:tabs>
          </w:pPr>
          <w:r>
            <w:fldChar w:fldCharType="begin"/>
          </w:r>
          <w:r>
            <w:instrText xml:space="preserve"> HYPERLINK \l "_Toc23324" </w:instrText>
          </w:r>
          <w:r>
            <w:fldChar w:fldCharType="separate"/>
          </w:r>
          <w:r>
            <w:rPr>
              <w:rFonts w:hint="eastAsia"/>
              <w:szCs w:val="21"/>
            </w:rPr>
            <w:t xml:space="preserve">2.24 </w:t>
          </w:r>
          <w:r>
            <w:rPr>
              <w:szCs w:val="21"/>
            </w:rPr>
            <w:t>应答文件的澄清</w:t>
          </w:r>
          <w:r>
            <w:rPr>
              <w:rFonts w:hint="eastAsia"/>
              <w:szCs w:val="21"/>
            </w:rPr>
            <w:t>和说明</w:t>
          </w:r>
          <w:r>
            <w:tab/>
          </w:r>
          <w:r>
            <w:fldChar w:fldCharType="begin"/>
          </w:r>
          <w:r>
            <w:instrText xml:space="preserve"> PAGEREF _Toc23324 \h </w:instrText>
          </w:r>
          <w:r>
            <w:fldChar w:fldCharType="separate"/>
          </w:r>
          <w:r>
            <w:t>18</w:t>
          </w:r>
          <w:r>
            <w:fldChar w:fldCharType="end"/>
          </w:r>
          <w:r>
            <w:fldChar w:fldCharType="end"/>
          </w:r>
        </w:p>
        <w:p w14:paraId="741B0AF8">
          <w:pPr>
            <w:pStyle w:val="35"/>
            <w:tabs>
              <w:tab w:val="right" w:leader="dot" w:pos="8504"/>
              <w:tab w:val="clear" w:pos="9540"/>
            </w:tabs>
          </w:pPr>
          <w:r>
            <w:fldChar w:fldCharType="begin"/>
          </w:r>
          <w:r>
            <w:instrText xml:space="preserve"> HYPERLINK \l "_Toc3520" </w:instrText>
          </w:r>
          <w:r>
            <w:fldChar w:fldCharType="separate"/>
          </w:r>
          <w:r>
            <w:rPr>
              <w:rFonts w:hint="eastAsia"/>
              <w:szCs w:val="21"/>
            </w:rPr>
            <w:t xml:space="preserve">2.25 </w:t>
          </w:r>
          <w:r>
            <w:rPr>
              <w:szCs w:val="21"/>
            </w:rPr>
            <w:t>应答文件的</w:t>
          </w:r>
          <w:r>
            <w:rPr>
              <w:rFonts w:hint="eastAsia"/>
              <w:szCs w:val="21"/>
            </w:rPr>
            <w:t>评审</w:t>
          </w:r>
          <w:r>
            <w:tab/>
          </w:r>
          <w:r>
            <w:fldChar w:fldCharType="begin"/>
          </w:r>
          <w:r>
            <w:instrText xml:space="preserve"> PAGEREF _Toc3520 \h </w:instrText>
          </w:r>
          <w:r>
            <w:fldChar w:fldCharType="separate"/>
          </w:r>
          <w:r>
            <w:t>18</w:t>
          </w:r>
          <w:r>
            <w:fldChar w:fldCharType="end"/>
          </w:r>
          <w:r>
            <w:fldChar w:fldCharType="end"/>
          </w:r>
        </w:p>
        <w:p w14:paraId="7F59FE72">
          <w:pPr>
            <w:pStyle w:val="35"/>
            <w:tabs>
              <w:tab w:val="right" w:leader="dot" w:pos="8504"/>
              <w:tab w:val="clear" w:pos="9540"/>
            </w:tabs>
          </w:pPr>
          <w:r>
            <w:fldChar w:fldCharType="begin"/>
          </w:r>
          <w:r>
            <w:instrText xml:space="preserve"> HYPERLINK \l "_Toc5246" </w:instrText>
          </w:r>
          <w:r>
            <w:fldChar w:fldCharType="separate"/>
          </w:r>
          <w:r>
            <w:rPr>
              <w:rFonts w:hint="eastAsia"/>
              <w:szCs w:val="21"/>
            </w:rPr>
            <w:t xml:space="preserve">2.26 </w:t>
          </w:r>
          <w:r>
            <w:rPr>
              <w:szCs w:val="21"/>
            </w:rPr>
            <w:t>评审方法</w:t>
          </w:r>
          <w:r>
            <w:tab/>
          </w:r>
          <w:r>
            <w:fldChar w:fldCharType="begin"/>
          </w:r>
          <w:r>
            <w:instrText xml:space="preserve"> PAGEREF _Toc5246 \h </w:instrText>
          </w:r>
          <w:r>
            <w:fldChar w:fldCharType="separate"/>
          </w:r>
          <w:r>
            <w:t>18</w:t>
          </w:r>
          <w:r>
            <w:fldChar w:fldCharType="end"/>
          </w:r>
          <w:r>
            <w:fldChar w:fldCharType="end"/>
          </w:r>
        </w:p>
        <w:p w14:paraId="552C3605">
          <w:pPr>
            <w:pStyle w:val="35"/>
            <w:tabs>
              <w:tab w:val="right" w:leader="dot" w:pos="8504"/>
              <w:tab w:val="clear" w:pos="9540"/>
            </w:tabs>
          </w:pPr>
          <w:r>
            <w:fldChar w:fldCharType="begin"/>
          </w:r>
          <w:r>
            <w:instrText xml:space="preserve"> HYPERLINK \l "_Toc24241" </w:instrText>
          </w:r>
          <w:r>
            <w:fldChar w:fldCharType="separate"/>
          </w:r>
          <w:r>
            <w:rPr>
              <w:rFonts w:hint="eastAsia"/>
              <w:szCs w:val="21"/>
            </w:rPr>
            <w:t>2.27 关于划分招标包</w:t>
          </w:r>
          <w:r>
            <w:tab/>
          </w:r>
          <w:r>
            <w:fldChar w:fldCharType="begin"/>
          </w:r>
          <w:r>
            <w:instrText xml:space="preserve"> PAGEREF _Toc24241 \h </w:instrText>
          </w:r>
          <w:r>
            <w:fldChar w:fldCharType="separate"/>
          </w:r>
          <w:r>
            <w:t>18</w:t>
          </w:r>
          <w:r>
            <w:fldChar w:fldCharType="end"/>
          </w:r>
          <w:r>
            <w:fldChar w:fldCharType="end"/>
          </w:r>
        </w:p>
        <w:p w14:paraId="39F5E377">
          <w:pPr>
            <w:pStyle w:val="35"/>
            <w:tabs>
              <w:tab w:val="right" w:leader="dot" w:pos="8504"/>
              <w:tab w:val="clear" w:pos="9540"/>
            </w:tabs>
          </w:pPr>
          <w:r>
            <w:fldChar w:fldCharType="begin"/>
          </w:r>
          <w:r>
            <w:instrText xml:space="preserve"> HYPERLINK \l "_Toc30084" </w:instrText>
          </w:r>
          <w:r>
            <w:fldChar w:fldCharType="separate"/>
          </w:r>
          <w:r>
            <w:rPr>
              <w:rFonts w:hint="eastAsia"/>
              <w:szCs w:val="21"/>
            </w:rPr>
            <w:t>2.28 相关人员的接触</w:t>
          </w:r>
          <w:r>
            <w:tab/>
          </w:r>
          <w:r>
            <w:fldChar w:fldCharType="begin"/>
          </w:r>
          <w:r>
            <w:instrText xml:space="preserve"> PAGEREF _Toc30084 \h </w:instrText>
          </w:r>
          <w:r>
            <w:fldChar w:fldCharType="separate"/>
          </w:r>
          <w:r>
            <w:t>18</w:t>
          </w:r>
          <w:r>
            <w:fldChar w:fldCharType="end"/>
          </w:r>
          <w:r>
            <w:fldChar w:fldCharType="end"/>
          </w:r>
        </w:p>
        <w:p w14:paraId="561A68C4">
          <w:pPr>
            <w:pStyle w:val="35"/>
            <w:tabs>
              <w:tab w:val="right" w:leader="dot" w:pos="8504"/>
              <w:tab w:val="clear" w:pos="9540"/>
            </w:tabs>
          </w:pPr>
          <w:r>
            <w:fldChar w:fldCharType="begin"/>
          </w:r>
          <w:r>
            <w:instrText xml:space="preserve"> HYPERLINK \l "_Toc24250" </w:instrText>
          </w:r>
          <w:r>
            <w:fldChar w:fldCharType="separate"/>
          </w:r>
          <w:r>
            <w:rPr>
              <w:rFonts w:hint="eastAsia"/>
              <w:szCs w:val="21"/>
            </w:rPr>
            <w:t xml:space="preserve">2.29 </w:t>
          </w:r>
          <w:r>
            <w:rPr>
              <w:szCs w:val="21"/>
            </w:rPr>
            <w:t>中选通知书</w:t>
          </w:r>
          <w:r>
            <w:tab/>
          </w:r>
          <w:r>
            <w:fldChar w:fldCharType="begin"/>
          </w:r>
          <w:r>
            <w:instrText xml:space="preserve"> PAGEREF _Toc24250 \h </w:instrText>
          </w:r>
          <w:r>
            <w:fldChar w:fldCharType="separate"/>
          </w:r>
          <w:r>
            <w:t>19</w:t>
          </w:r>
          <w:r>
            <w:fldChar w:fldCharType="end"/>
          </w:r>
          <w:r>
            <w:fldChar w:fldCharType="end"/>
          </w:r>
        </w:p>
        <w:p w14:paraId="2F71F978">
          <w:pPr>
            <w:pStyle w:val="35"/>
            <w:tabs>
              <w:tab w:val="right" w:leader="dot" w:pos="8504"/>
              <w:tab w:val="clear" w:pos="9540"/>
            </w:tabs>
          </w:pPr>
          <w:r>
            <w:fldChar w:fldCharType="begin"/>
          </w:r>
          <w:r>
            <w:instrText xml:space="preserve"> HYPERLINK \l "_Toc12344" </w:instrText>
          </w:r>
          <w:r>
            <w:fldChar w:fldCharType="separate"/>
          </w:r>
          <w:r>
            <w:rPr>
              <w:rFonts w:hint="eastAsia"/>
              <w:szCs w:val="21"/>
            </w:rPr>
            <w:t xml:space="preserve">2.30 </w:t>
          </w:r>
          <w:r>
            <w:rPr>
              <w:szCs w:val="21"/>
            </w:rPr>
            <w:t>签订</w:t>
          </w:r>
          <w:r>
            <w:rPr>
              <w:rFonts w:hint="eastAsia"/>
              <w:szCs w:val="21"/>
            </w:rPr>
            <w:t>书面</w:t>
          </w:r>
          <w:r>
            <w:rPr>
              <w:szCs w:val="21"/>
            </w:rPr>
            <w:t>合同</w:t>
          </w:r>
          <w:r>
            <w:tab/>
          </w:r>
          <w:r>
            <w:fldChar w:fldCharType="begin"/>
          </w:r>
          <w:r>
            <w:instrText xml:space="preserve"> PAGEREF _Toc12344 \h </w:instrText>
          </w:r>
          <w:r>
            <w:fldChar w:fldCharType="separate"/>
          </w:r>
          <w:r>
            <w:t>19</w:t>
          </w:r>
          <w:r>
            <w:fldChar w:fldCharType="end"/>
          </w:r>
          <w:r>
            <w:fldChar w:fldCharType="end"/>
          </w:r>
        </w:p>
        <w:p w14:paraId="5656E4EF">
          <w:pPr>
            <w:pStyle w:val="35"/>
            <w:tabs>
              <w:tab w:val="right" w:leader="dot" w:pos="8504"/>
              <w:tab w:val="clear" w:pos="9540"/>
            </w:tabs>
          </w:pPr>
          <w:r>
            <w:fldChar w:fldCharType="begin"/>
          </w:r>
          <w:r>
            <w:instrText xml:space="preserve"> HYPERLINK \l "_Toc4556" </w:instrText>
          </w:r>
          <w:r>
            <w:fldChar w:fldCharType="separate"/>
          </w:r>
          <w:r>
            <w:rPr>
              <w:rFonts w:hint="eastAsia"/>
              <w:szCs w:val="21"/>
            </w:rPr>
            <w:t xml:space="preserve">2.31 </w:t>
          </w:r>
          <w:r>
            <w:rPr>
              <w:szCs w:val="21"/>
            </w:rPr>
            <w:t>履约保证金</w:t>
          </w:r>
          <w:r>
            <w:tab/>
          </w:r>
          <w:r>
            <w:fldChar w:fldCharType="begin"/>
          </w:r>
          <w:r>
            <w:instrText xml:space="preserve"> PAGEREF _Toc4556 \h </w:instrText>
          </w:r>
          <w:r>
            <w:fldChar w:fldCharType="separate"/>
          </w:r>
          <w:r>
            <w:t>19</w:t>
          </w:r>
          <w:r>
            <w:fldChar w:fldCharType="end"/>
          </w:r>
          <w:r>
            <w:fldChar w:fldCharType="end"/>
          </w:r>
        </w:p>
        <w:p w14:paraId="4C17A0C1">
          <w:pPr>
            <w:pStyle w:val="35"/>
            <w:tabs>
              <w:tab w:val="right" w:leader="dot" w:pos="8504"/>
              <w:tab w:val="clear" w:pos="9540"/>
            </w:tabs>
          </w:pPr>
          <w:r>
            <w:fldChar w:fldCharType="begin"/>
          </w:r>
          <w:r>
            <w:instrText xml:space="preserve"> HYPERLINK \l "_Toc12949" </w:instrText>
          </w:r>
          <w:r>
            <w:fldChar w:fldCharType="separate"/>
          </w:r>
          <w:r>
            <w:rPr>
              <w:rFonts w:hint="eastAsia"/>
              <w:szCs w:val="21"/>
            </w:rPr>
            <w:t>2.32 投诉处理</w:t>
          </w:r>
          <w:r>
            <w:tab/>
          </w:r>
          <w:r>
            <w:fldChar w:fldCharType="begin"/>
          </w:r>
          <w:r>
            <w:instrText xml:space="preserve"> PAGEREF _Toc12949 \h </w:instrText>
          </w:r>
          <w:r>
            <w:fldChar w:fldCharType="separate"/>
          </w:r>
          <w:r>
            <w:t>19</w:t>
          </w:r>
          <w:r>
            <w:fldChar w:fldCharType="end"/>
          </w:r>
          <w:r>
            <w:fldChar w:fldCharType="end"/>
          </w:r>
        </w:p>
        <w:p w14:paraId="042E5686">
          <w:pPr>
            <w:pStyle w:val="35"/>
            <w:tabs>
              <w:tab w:val="right" w:leader="dot" w:pos="8504"/>
              <w:tab w:val="clear" w:pos="9540"/>
            </w:tabs>
          </w:pPr>
          <w:r>
            <w:fldChar w:fldCharType="begin"/>
          </w:r>
          <w:r>
            <w:instrText xml:space="preserve"> HYPERLINK \l "_Toc26779" </w:instrText>
          </w:r>
          <w:r>
            <w:fldChar w:fldCharType="separate"/>
          </w:r>
          <w:r>
            <w:rPr>
              <w:rFonts w:hint="eastAsia"/>
              <w:szCs w:val="21"/>
            </w:rPr>
            <w:t>2.33 招标</w:t>
          </w:r>
          <w:r>
            <w:rPr>
              <w:szCs w:val="21"/>
            </w:rPr>
            <w:t>服务费</w:t>
          </w:r>
          <w:r>
            <w:tab/>
          </w:r>
          <w:r>
            <w:fldChar w:fldCharType="begin"/>
          </w:r>
          <w:r>
            <w:instrText xml:space="preserve"> PAGEREF _Toc26779 \h </w:instrText>
          </w:r>
          <w:r>
            <w:fldChar w:fldCharType="separate"/>
          </w:r>
          <w:r>
            <w:t>20</w:t>
          </w:r>
          <w:r>
            <w:fldChar w:fldCharType="end"/>
          </w:r>
          <w:r>
            <w:fldChar w:fldCharType="end"/>
          </w:r>
        </w:p>
        <w:p w14:paraId="5F5B4E54">
          <w:pPr>
            <w:pStyle w:val="31"/>
            <w:tabs>
              <w:tab w:val="right" w:leader="dot" w:pos="8504"/>
              <w:tab w:val="clear" w:pos="851"/>
              <w:tab w:val="clear" w:pos="9072"/>
            </w:tabs>
          </w:pPr>
          <w:r>
            <w:fldChar w:fldCharType="begin"/>
          </w:r>
          <w:r>
            <w:instrText xml:space="preserve"> HYPERLINK \l "_Toc667" </w:instrText>
          </w:r>
          <w:r>
            <w:fldChar w:fldCharType="separate"/>
          </w:r>
          <w:r>
            <w:rPr>
              <w:rFonts w:hint="eastAsia" w:ascii="宋体" w:hAnsi="宋体" w:eastAsia="宋体"/>
            </w:rPr>
            <w:t>第三章 商务</w:t>
          </w:r>
          <w:r>
            <w:rPr>
              <w:rFonts w:ascii="宋体" w:hAnsi="宋体" w:eastAsia="宋体"/>
            </w:rPr>
            <w:t>规范书</w:t>
          </w:r>
          <w:r>
            <w:tab/>
          </w:r>
          <w:r>
            <w:fldChar w:fldCharType="begin"/>
          </w:r>
          <w:r>
            <w:instrText xml:space="preserve"> PAGEREF _Toc667 \h </w:instrText>
          </w:r>
          <w:r>
            <w:fldChar w:fldCharType="separate"/>
          </w:r>
          <w:r>
            <w:t>21</w:t>
          </w:r>
          <w:r>
            <w:fldChar w:fldCharType="end"/>
          </w:r>
          <w:r>
            <w:fldChar w:fldCharType="end"/>
          </w:r>
        </w:p>
        <w:p w14:paraId="0FB2BE14">
          <w:pPr>
            <w:pStyle w:val="31"/>
            <w:tabs>
              <w:tab w:val="right" w:leader="dot" w:pos="8504"/>
              <w:tab w:val="clear" w:pos="851"/>
              <w:tab w:val="clear" w:pos="9072"/>
            </w:tabs>
          </w:pPr>
          <w:r>
            <w:fldChar w:fldCharType="begin"/>
          </w:r>
          <w:r>
            <w:instrText xml:space="preserve"> HYPERLINK \l "_Toc12502" </w:instrText>
          </w:r>
          <w:r>
            <w:fldChar w:fldCharType="separate"/>
          </w:r>
          <w:r>
            <w:rPr>
              <w:rFonts w:hint="eastAsia" w:ascii="宋体" w:hAnsi="宋体" w:eastAsia="宋体"/>
            </w:rPr>
            <w:t>第四章 技术规范书</w:t>
          </w:r>
          <w:r>
            <w:tab/>
          </w:r>
          <w:r>
            <w:fldChar w:fldCharType="begin"/>
          </w:r>
          <w:r>
            <w:instrText xml:space="preserve"> PAGEREF _Toc12502 \h </w:instrText>
          </w:r>
          <w:r>
            <w:fldChar w:fldCharType="separate"/>
          </w:r>
          <w:r>
            <w:t>22</w:t>
          </w:r>
          <w:r>
            <w:fldChar w:fldCharType="end"/>
          </w:r>
          <w:r>
            <w:fldChar w:fldCharType="end"/>
          </w:r>
        </w:p>
        <w:p w14:paraId="337862DE">
          <w:pPr>
            <w:pStyle w:val="31"/>
            <w:tabs>
              <w:tab w:val="right" w:leader="dot" w:pos="8504"/>
              <w:tab w:val="clear" w:pos="851"/>
              <w:tab w:val="clear" w:pos="9072"/>
            </w:tabs>
          </w:pPr>
          <w:r>
            <w:fldChar w:fldCharType="begin"/>
          </w:r>
          <w:r>
            <w:instrText xml:space="preserve"> HYPERLINK \l "_Toc24608" </w:instrText>
          </w:r>
          <w:r>
            <w:fldChar w:fldCharType="separate"/>
          </w:r>
          <w:r>
            <w:rPr>
              <w:rFonts w:hint="eastAsia" w:ascii="宋体" w:hAnsi="宋体" w:eastAsia="宋体"/>
            </w:rPr>
            <w:t>第五章 评审办法</w:t>
          </w:r>
          <w:r>
            <w:tab/>
          </w:r>
          <w:r>
            <w:fldChar w:fldCharType="begin"/>
          </w:r>
          <w:r>
            <w:instrText xml:space="preserve"> PAGEREF _Toc24608 \h </w:instrText>
          </w:r>
          <w:r>
            <w:fldChar w:fldCharType="separate"/>
          </w:r>
          <w:r>
            <w:t>23</w:t>
          </w:r>
          <w:r>
            <w:fldChar w:fldCharType="end"/>
          </w:r>
          <w:r>
            <w:fldChar w:fldCharType="end"/>
          </w:r>
        </w:p>
        <w:p w14:paraId="585A1974">
          <w:pPr>
            <w:pStyle w:val="35"/>
            <w:tabs>
              <w:tab w:val="right" w:leader="dot" w:pos="8504"/>
              <w:tab w:val="clear" w:pos="9540"/>
            </w:tabs>
          </w:pPr>
          <w:r>
            <w:fldChar w:fldCharType="begin"/>
          </w:r>
          <w:r>
            <w:instrText xml:space="preserve"> HYPERLINK \l "_Toc22590" </w:instrText>
          </w:r>
          <w:r>
            <w:fldChar w:fldCharType="separate"/>
          </w:r>
          <w:r>
            <w:rPr>
              <w:rFonts w:hint="eastAsia"/>
              <w:szCs w:val="21"/>
            </w:rPr>
            <w:t>评审办法前附表</w:t>
          </w:r>
          <w:r>
            <w:tab/>
          </w:r>
          <w:r>
            <w:fldChar w:fldCharType="begin"/>
          </w:r>
          <w:r>
            <w:instrText xml:space="preserve"> PAGEREF _Toc22590 \h </w:instrText>
          </w:r>
          <w:r>
            <w:fldChar w:fldCharType="separate"/>
          </w:r>
          <w:r>
            <w:t>23</w:t>
          </w:r>
          <w:r>
            <w:fldChar w:fldCharType="end"/>
          </w:r>
          <w:r>
            <w:fldChar w:fldCharType="end"/>
          </w:r>
        </w:p>
        <w:p w14:paraId="2DA80479">
          <w:pPr>
            <w:pStyle w:val="35"/>
            <w:tabs>
              <w:tab w:val="right" w:leader="dot" w:pos="8504"/>
              <w:tab w:val="clear" w:pos="9540"/>
            </w:tabs>
          </w:pPr>
          <w:r>
            <w:fldChar w:fldCharType="begin"/>
          </w:r>
          <w:r>
            <w:instrText xml:space="preserve"> HYPERLINK \l "_Toc546" </w:instrText>
          </w:r>
          <w:r>
            <w:fldChar w:fldCharType="separate"/>
          </w:r>
          <w:r>
            <w:rPr>
              <w:rFonts w:hint="eastAsia"/>
              <w:szCs w:val="21"/>
            </w:rPr>
            <w:t>5.1 评审方法</w:t>
          </w:r>
          <w:r>
            <w:tab/>
          </w:r>
          <w:r>
            <w:fldChar w:fldCharType="begin"/>
          </w:r>
          <w:r>
            <w:instrText xml:space="preserve"> PAGEREF _Toc546 \h </w:instrText>
          </w:r>
          <w:r>
            <w:fldChar w:fldCharType="separate"/>
          </w:r>
          <w:r>
            <w:t>27</w:t>
          </w:r>
          <w:r>
            <w:fldChar w:fldCharType="end"/>
          </w:r>
          <w:r>
            <w:fldChar w:fldCharType="end"/>
          </w:r>
        </w:p>
        <w:p w14:paraId="2A9BA5DB">
          <w:pPr>
            <w:pStyle w:val="35"/>
            <w:tabs>
              <w:tab w:val="right" w:leader="dot" w:pos="8504"/>
              <w:tab w:val="clear" w:pos="9540"/>
            </w:tabs>
          </w:pPr>
          <w:r>
            <w:fldChar w:fldCharType="begin"/>
          </w:r>
          <w:r>
            <w:instrText xml:space="preserve"> HYPERLINK \l "_Toc8491" </w:instrText>
          </w:r>
          <w:r>
            <w:fldChar w:fldCharType="separate"/>
          </w:r>
          <w:r>
            <w:rPr>
              <w:rFonts w:hint="eastAsia"/>
              <w:szCs w:val="21"/>
            </w:rPr>
            <w:t>5.2 评审标准</w:t>
          </w:r>
          <w:r>
            <w:tab/>
          </w:r>
          <w:r>
            <w:fldChar w:fldCharType="begin"/>
          </w:r>
          <w:r>
            <w:instrText xml:space="preserve"> PAGEREF _Toc8491 \h </w:instrText>
          </w:r>
          <w:r>
            <w:fldChar w:fldCharType="separate"/>
          </w:r>
          <w:r>
            <w:t>27</w:t>
          </w:r>
          <w:r>
            <w:fldChar w:fldCharType="end"/>
          </w:r>
          <w:r>
            <w:fldChar w:fldCharType="end"/>
          </w:r>
        </w:p>
        <w:p w14:paraId="687270EE">
          <w:pPr>
            <w:pStyle w:val="35"/>
            <w:tabs>
              <w:tab w:val="right" w:leader="dot" w:pos="8504"/>
              <w:tab w:val="clear" w:pos="9540"/>
            </w:tabs>
          </w:pPr>
          <w:r>
            <w:fldChar w:fldCharType="begin"/>
          </w:r>
          <w:r>
            <w:instrText xml:space="preserve"> HYPERLINK \l "_Toc13217" </w:instrText>
          </w:r>
          <w:r>
            <w:fldChar w:fldCharType="separate"/>
          </w:r>
          <w:r>
            <w:rPr>
              <w:rFonts w:hint="eastAsia"/>
              <w:szCs w:val="21"/>
            </w:rPr>
            <w:t>5.3 评审程序</w:t>
          </w:r>
          <w:r>
            <w:tab/>
          </w:r>
          <w:r>
            <w:fldChar w:fldCharType="begin"/>
          </w:r>
          <w:r>
            <w:instrText xml:space="preserve"> PAGEREF _Toc13217 \h </w:instrText>
          </w:r>
          <w:r>
            <w:fldChar w:fldCharType="separate"/>
          </w:r>
          <w:r>
            <w:t>27</w:t>
          </w:r>
          <w:r>
            <w:fldChar w:fldCharType="end"/>
          </w:r>
          <w:r>
            <w:fldChar w:fldCharType="end"/>
          </w:r>
        </w:p>
        <w:p w14:paraId="336C9527">
          <w:pPr>
            <w:pStyle w:val="35"/>
            <w:tabs>
              <w:tab w:val="right" w:leader="dot" w:pos="8504"/>
              <w:tab w:val="clear" w:pos="9540"/>
            </w:tabs>
          </w:pPr>
          <w:r>
            <w:fldChar w:fldCharType="begin"/>
          </w:r>
          <w:r>
            <w:instrText xml:space="preserve"> HYPERLINK \l "_Toc7297" </w:instrText>
          </w:r>
          <w:r>
            <w:fldChar w:fldCharType="separate"/>
          </w:r>
          <w:r>
            <w:rPr>
              <w:rFonts w:hint="eastAsia"/>
              <w:szCs w:val="21"/>
            </w:rPr>
            <w:t>5.4 中选</w:t>
          </w:r>
          <w:r>
            <w:tab/>
          </w:r>
          <w:r>
            <w:fldChar w:fldCharType="begin"/>
          </w:r>
          <w:r>
            <w:instrText xml:space="preserve"> PAGEREF _Toc7297 \h </w:instrText>
          </w:r>
          <w:r>
            <w:fldChar w:fldCharType="separate"/>
          </w:r>
          <w:r>
            <w:t>29</w:t>
          </w:r>
          <w:r>
            <w:fldChar w:fldCharType="end"/>
          </w:r>
          <w:r>
            <w:fldChar w:fldCharType="end"/>
          </w:r>
        </w:p>
        <w:p w14:paraId="55D11779">
          <w:pPr>
            <w:pStyle w:val="31"/>
            <w:tabs>
              <w:tab w:val="right" w:leader="dot" w:pos="8504"/>
              <w:tab w:val="clear" w:pos="851"/>
              <w:tab w:val="clear" w:pos="9072"/>
            </w:tabs>
          </w:pPr>
          <w:r>
            <w:fldChar w:fldCharType="begin"/>
          </w:r>
          <w:r>
            <w:instrText xml:space="preserve"> HYPERLINK \l "_Toc29767" </w:instrText>
          </w:r>
          <w:r>
            <w:fldChar w:fldCharType="separate"/>
          </w:r>
          <w:r>
            <w:rPr>
              <w:rFonts w:hint="eastAsia" w:ascii="宋体" w:hAnsi="宋体" w:eastAsia="宋体"/>
            </w:rPr>
            <w:t>第六章 应答文件格式</w:t>
          </w:r>
          <w:r>
            <w:tab/>
          </w:r>
          <w:r>
            <w:fldChar w:fldCharType="begin"/>
          </w:r>
          <w:r>
            <w:instrText xml:space="preserve"> PAGEREF _Toc29767 \h </w:instrText>
          </w:r>
          <w:r>
            <w:fldChar w:fldCharType="separate"/>
          </w:r>
          <w:r>
            <w:t>30</w:t>
          </w:r>
          <w:r>
            <w:fldChar w:fldCharType="end"/>
          </w:r>
          <w:r>
            <w:fldChar w:fldCharType="end"/>
          </w:r>
        </w:p>
        <w:p w14:paraId="4B0C8735">
          <w:pPr>
            <w:pStyle w:val="35"/>
            <w:tabs>
              <w:tab w:val="right" w:leader="dot" w:pos="8504"/>
              <w:tab w:val="clear" w:pos="9540"/>
            </w:tabs>
          </w:pPr>
          <w:r>
            <w:fldChar w:fldCharType="begin"/>
          </w:r>
          <w:r>
            <w:instrText xml:space="preserve"> HYPERLINK \l "_Toc7217" </w:instrText>
          </w:r>
          <w:r>
            <w:fldChar w:fldCharType="separate"/>
          </w:r>
          <w:r>
            <w:rPr>
              <w:szCs w:val="32"/>
            </w:rPr>
            <w:t xml:space="preserve">一、 </w:t>
          </w:r>
          <w:r>
            <w:rPr>
              <w:rFonts w:hint="eastAsia"/>
              <w:szCs w:val="32"/>
            </w:rPr>
            <w:t>技术分册（单独成册，加盖公章）</w:t>
          </w:r>
          <w:r>
            <w:tab/>
          </w:r>
          <w:r>
            <w:fldChar w:fldCharType="begin"/>
          </w:r>
          <w:r>
            <w:instrText xml:space="preserve"> PAGEREF _Toc7217 \h </w:instrText>
          </w:r>
          <w:r>
            <w:fldChar w:fldCharType="separate"/>
          </w:r>
          <w:r>
            <w:t>31</w:t>
          </w:r>
          <w:r>
            <w:fldChar w:fldCharType="end"/>
          </w:r>
          <w:r>
            <w:fldChar w:fldCharType="end"/>
          </w:r>
        </w:p>
        <w:p w14:paraId="2B7721C1">
          <w:pPr>
            <w:pStyle w:val="23"/>
            <w:tabs>
              <w:tab w:val="right" w:leader="dot" w:pos="8504"/>
              <w:tab w:val="clear" w:pos="1400"/>
              <w:tab w:val="clear" w:pos="9060"/>
            </w:tabs>
          </w:pPr>
          <w:r>
            <w:fldChar w:fldCharType="begin"/>
          </w:r>
          <w:r>
            <w:instrText xml:space="preserve"> HYPERLINK \l "_Toc9073" </w:instrText>
          </w:r>
          <w:r>
            <w:fldChar w:fldCharType="separate"/>
          </w:r>
          <w:r>
            <w:rPr>
              <w:rFonts w:hint="eastAsia" w:ascii="宋体" w:hAnsi="宋体"/>
              <w:szCs w:val="21"/>
            </w:rPr>
            <w:t>1、技术评分表索引（格式参见第六章附件6.</w:t>
          </w:r>
          <w:r>
            <w:rPr>
              <w:rFonts w:ascii="宋体" w:hAnsi="宋体"/>
              <w:szCs w:val="21"/>
            </w:rPr>
            <w:t>1</w:t>
          </w:r>
          <w:r>
            <w:rPr>
              <w:rFonts w:hint="eastAsia" w:ascii="宋体" w:hAnsi="宋体"/>
              <w:szCs w:val="21"/>
            </w:rPr>
            <w:t>0）（一级目录）</w:t>
          </w:r>
          <w:r>
            <w:tab/>
          </w:r>
          <w:r>
            <w:fldChar w:fldCharType="begin"/>
          </w:r>
          <w:r>
            <w:instrText xml:space="preserve"> PAGEREF _Toc9073 \h </w:instrText>
          </w:r>
          <w:r>
            <w:fldChar w:fldCharType="separate"/>
          </w:r>
          <w:r>
            <w:t>31</w:t>
          </w:r>
          <w:r>
            <w:fldChar w:fldCharType="end"/>
          </w:r>
          <w:r>
            <w:fldChar w:fldCharType="end"/>
          </w:r>
        </w:p>
        <w:p w14:paraId="631B6CDA">
          <w:pPr>
            <w:pStyle w:val="23"/>
            <w:tabs>
              <w:tab w:val="right" w:leader="dot" w:pos="8504"/>
              <w:tab w:val="clear" w:pos="1400"/>
              <w:tab w:val="clear" w:pos="9060"/>
            </w:tabs>
          </w:pPr>
          <w:r>
            <w:fldChar w:fldCharType="begin"/>
          </w:r>
          <w:r>
            <w:instrText xml:space="preserve"> HYPERLINK \l "_Toc10919" </w:instrText>
          </w:r>
          <w:r>
            <w:fldChar w:fldCharType="separate"/>
          </w:r>
          <w:r>
            <w:rPr>
              <w:rFonts w:hint="eastAsia" w:ascii="宋体" w:hAnsi="宋体"/>
              <w:szCs w:val="21"/>
            </w:rPr>
            <w:t>2、技术应答文件（加盖公章）</w:t>
          </w:r>
          <w:r>
            <w:rPr>
              <w:rFonts w:hint="eastAsia"/>
              <w:szCs w:val="21"/>
            </w:rPr>
            <w:t>（一级目录）</w:t>
          </w:r>
          <w:r>
            <w:tab/>
          </w:r>
          <w:r>
            <w:fldChar w:fldCharType="begin"/>
          </w:r>
          <w:r>
            <w:instrText xml:space="preserve"> PAGEREF _Toc10919 \h </w:instrText>
          </w:r>
          <w:r>
            <w:fldChar w:fldCharType="separate"/>
          </w:r>
          <w:r>
            <w:t>31</w:t>
          </w:r>
          <w:r>
            <w:fldChar w:fldCharType="end"/>
          </w:r>
          <w:r>
            <w:fldChar w:fldCharType="end"/>
          </w:r>
        </w:p>
        <w:p w14:paraId="45C849DE">
          <w:pPr>
            <w:pStyle w:val="23"/>
            <w:tabs>
              <w:tab w:val="right" w:leader="dot" w:pos="8504"/>
              <w:tab w:val="clear" w:pos="1400"/>
              <w:tab w:val="clear" w:pos="9060"/>
            </w:tabs>
          </w:pPr>
          <w:r>
            <w:fldChar w:fldCharType="begin"/>
          </w:r>
          <w:r>
            <w:instrText xml:space="preserve"> HYPERLINK \l "_Toc12369" </w:instrText>
          </w:r>
          <w:r>
            <w:fldChar w:fldCharType="separate"/>
          </w:r>
          <w:r>
            <w:rPr>
              <w:rFonts w:hint="eastAsia" w:ascii="宋体" w:hAnsi="宋体"/>
              <w:szCs w:val="21"/>
            </w:rPr>
            <w:t>3、技术建议书（一级目录）</w:t>
          </w:r>
          <w:r>
            <w:tab/>
          </w:r>
          <w:r>
            <w:fldChar w:fldCharType="begin"/>
          </w:r>
          <w:r>
            <w:instrText xml:space="preserve"> PAGEREF _Toc12369 \h </w:instrText>
          </w:r>
          <w:r>
            <w:fldChar w:fldCharType="separate"/>
          </w:r>
          <w:r>
            <w:t>31</w:t>
          </w:r>
          <w:r>
            <w:fldChar w:fldCharType="end"/>
          </w:r>
          <w:r>
            <w:fldChar w:fldCharType="end"/>
          </w:r>
        </w:p>
        <w:p w14:paraId="57BD4307">
          <w:pPr>
            <w:pStyle w:val="35"/>
            <w:tabs>
              <w:tab w:val="right" w:leader="dot" w:pos="8504"/>
              <w:tab w:val="clear" w:pos="9540"/>
            </w:tabs>
          </w:pPr>
          <w:r>
            <w:fldChar w:fldCharType="begin"/>
          </w:r>
          <w:r>
            <w:instrText xml:space="preserve"> HYPERLINK \l "_Toc14048" </w:instrText>
          </w:r>
          <w:r>
            <w:fldChar w:fldCharType="separate"/>
          </w:r>
          <w:r>
            <w:rPr>
              <w:szCs w:val="32"/>
            </w:rPr>
            <w:t xml:space="preserve">二、 </w:t>
          </w:r>
          <w:r>
            <w:rPr>
              <w:rFonts w:hint="eastAsia"/>
              <w:szCs w:val="32"/>
            </w:rPr>
            <w:t>商务分册（单独成册，加盖公章）</w:t>
          </w:r>
          <w:r>
            <w:tab/>
          </w:r>
          <w:r>
            <w:fldChar w:fldCharType="begin"/>
          </w:r>
          <w:r>
            <w:instrText xml:space="preserve"> PAGEREF _Toc14048 \h </w:instrText>
          </w:r>
          <w:r>
            <w:fldChar w:fldCharType="separate"/>
          </w:r>
          <w:r>
            <w:t>31</w:t>
          </w:r>
          <w:r>
            <w:fldChar w:fldCharType="end"/>
          </w:r>
          <w:r>
            <w:fldChar w:fldCharType="end"/>
          </w:r>
        </w:p>
        <w:p w14:paraId="1F726DD3">
          <w:pPr>
            <w:pStyle w:val="23"/>
            <w:tabs>
              <w:tab w:val="right" w:leader="dot" w:pos="8504"/>
              <w:tab w:val="clear" w:pos="1400"/>
              <w:tab w:val="clear" w:pos="9060"/>
            </w:tabs>
          </w:pPr>
          <w:r>
            <w:fldChar w:fldCharType="begin"/>
          </w:r>
          <w:r>
            <w:instrText xml:space="preserve"> HYPERLINK \l "_Toc24637" </w:instrText>
          </w:r>
          <w:r>
            <w:fldChar w:fldCharType="separate"/>
          </w:r>
          <w:r>
            <w:rPr>
              <w:rFonts w:hint="eastAsia" w:ascii="宋体" w:hAnsi="宋体"/>
              <w:szCs w:val="21"/>
            </w:rPr>
            <w:t>供应商初步评审索引（格式参见第六章附件6.11）（一级目录）</w:t>
          </w:r>
          <w:r>
            <w:tab/>
          </w:r>
          <w:r>
            <w:fldChar w:fldCharType="begin"/>
          </w:r>
          <w:r>
            <w:instrText xml:space="preserve"> PAGEREF _Toc24637 \h </w:instrText>
          </w:r>
          <w:r>
            <w:fldChar w:fldCharType="separate"/>
          </w:r>
          <w:r>
            <w:t>31</w:t>
          </w:r>
          <w:r>
            <w:fldChar w:fldCharType="end"/>
          </w:r>
          <w:r>
            <w:fldChar w:fldCharType="end"/>
          </w:r>
        </w:p>
        <w:p w14:paraId="19C761A0">
          <w:pPr>
            <w:pStyle w:val="23"/>
            <w:tabs>
              <w:tab w:val="right" w:leader="dot" w:pos="8504"/>
              <w:tab w:val="clear" w:pos="1400"/>
              <w:tab w:val="clear" w:pos="9060"/>
            </w:tabs>
          </w:pPr>
          <w:r>
            <w:fldChar w:fldCharType="begin"/>
          </w:r>
          <w:r>
            <w:instrText xml:space="preserve"> HYPERLINK \l "_Toc25083" </w:instrText>
          </w:r>
          <w:r>
            <w:fldChar w:fldCharType="separate"/>
          </w:r>
          <w:r>
            <w:rPr>
              <w:rFonts w:hint="eastAsia" w:ascii="宋体" w:hAnsi="宋体"/>
              <w:szCs w:val="21"/>
            </w:rPr>
            <w:t>1、资格证明部分</w:t>
          </w:r>
          <w:r>
            <w:rPr>
              <w:rFonts w:hint="eastAsia"/>
              <w:szCs w:val="21"/>
            </w:rPr>
            <w:t>（一级目录）</w:t>
          </w:r>
          <w:r>
            <w:tab/>
          </w:r>
          <w:r>
            <w:fldChar w:fldCharType="begin"/>
          </w:r>
          <w:r>
            <w:instrText xml:space="preserve"> PAGEREF _Toc25083 \h </w:instrText>
          </w:r>
          <w:r>
            <w:fldChar w:fldCharType="separate"/>
          </w:r>
          <w:r>
            <w:t>31</w:t>
          </w:r>
          <w:r>
            <w:fldChar w:fldCharType="end"/>
          </w:r>
          <w:r>
            <w:fldChar w:fldCharType="end"/>
          </w:r>
        </w:p>
        <w:p w14:paraId="073A104A">
          <w:pPr>
            <w:pStyle w:val="23"/>
            <w:tabs>
              <w:tab w:val="right" w:leader="dot" w:pos="8504"/>
              <w:tab w:val="clear" w:pos="1400"/>
              <w:tab w:val="clear" w:pos="9060"/>
            </w:tabs>
          </w:pPr>
          <w:r>
            <w:fldChar w:fldCharType="begin"/>
          </w:r>
          <w:r>
            <w:instrText xml:space="preserve"> HYPERLINK \l "_Toc1134" </w:instrText>
          </w:r>
          <w:r>
            <w:fldChar w:fldCharType="separate"/>
          </w:r>
          <w:r>
            <w:rPr>
              <w:rFonts w:hint="eastAsia" w:ascii="宋体" w:hAnsi="宋体"/>
              <w:szCs w:val="21"/>
            </w:rPr>
            <w:t>2、商务部分</w:t>
          </w:r>
          <w:r>
            <w:rPr>
              <w:rFonts w:hint="eastAsia"/>
              <w:szCs w:val="21"/>
            </w:rPr>
            <w:t>（一级目录）</w:t>
          </w:r>
          <w:r>
            <w:tab/>
          </w:r>
          <w:r>
            <w:fldChar w:fldCharType="begin"/>
          </w:r>
          <w:r>
            <w:instrText xml:space="preserve"> PAGEREF _Toc1134 \h </w:instrText>
          </w:r>
          <w:r>
            <w:fldChar w:fldCharType="separate"/>
          </w:r>
          <w:r>
            <w:t>32</w:t>
          </w:r>
          <w:r>
            <w:fldChar w:fldCharType="end"/>
          </w:r>
          <w:r>
            <w:fldChar w:fldCharType="end"/>
          </w:r>
        </w:p>
        <w:p w14:paraId="60D53325">
          <w:pPr>
            <w:pStyle w:val="35"/>
            <w:tabs>
              <w:tab w:val="right" w:leader="dot" w:pos="8504"/>
              <w:tab w:val="clear" w:pos="9540"/>
            </w:tabs>
          </w:pPr>
          <w:r>
            <w:fldChar w:fldCharType="begin"/>
          </w:r>
          <w:r>
            <w:instrText xml:space="preserve"> HYPERLINK \l "_Toc641" </w:instrText>
          </w:r>
          <w:r>
            <w:fldChar w:fldCharType="separate"/>
          </w:r>
          <w:r>
            <w:rPr>
              <w:szCs w:val="32"/>
            </w:rPr>
            <w:t xml:space="preserve">三、 </w:t>
          </w:r>
          <w:r>
            <w:rPr>
              <w:rFonts w:hint="eastAsia"/>
              <w:szCs w:val="32"/>
            </w:rPr>
            <w:t>报价分册（单独成册，加盖公章）</w:t>
          </w:r>
          <w:r>
            <w:tab/>
          </w:r>
          <w:r>
            <w:fldChar w:fldCharType="begin"/>
          </w:r>
          <w:r>
            <w:instrText xml:space="preserve"> PAGEREF _Toc641 \h </w:instrText>
          </w:r>
          <w:r>
            <w:fldChar w:fldCharType="separate"/>
          </w:r>
          <w:r>
            <w:t>32</w:t>
          </w:r>
          <w:r>
            <w:fldChar w:fldCharType="end"/>
          </w:r>
          <w:r>
            <w:fldChar w:fldCharType="end"/>
          </w:r>
        </w:p>
        <w:p w14:paraId="00588A3B">
          <w:pPr>
            <w:pStyle w:val="31"/>
            <w:tabs>
              <w:tab w:val="right" w:leader="dot" w:pos="8504"/>
              <w:tab w:val="clear" w:pos="851"/>
              <w:tab w:val="clear" w:pos="9072"/>
            </w:tabs>
            <w:snapToGrid w:val="0"/>
            <w:spacing w:line="360" w:lineRule="auto"/>
          </w:pPr>
          <w:r>
            <w:fldChar w:fldCharType="end"/>
          </w:r>
        </w:p>
      </w:sdtContent>
    </w:sdt>
    <w:p w14:paraId="12776B7B">
      <w:pPr>
        <w:widowControl/>
        <w:snapToGrid w:val="0"/>
        <w:spacing w:line="360" w:lineRule="auto"/>
        <w:jc w:val="left"/>
        <w:rPr>
          <w:rFonts w:ascii="宋体" w:hAnsi="宋体"/>
          <w:bCs/>
          <w:kern w:val="44"/>
          <w:sz w:val="30"/>
          <w:szCs w:val="44"/>
        </w:rPr>
      </w:pPr>
      <w:r>
        <w:rPr>
          <w:rFonts w:ascii="宋体" w:hAnsi="宋体"/>
        </w:rPr>
        <w:br w:type="page"/>
      </w:r>
    </w:p>
    <w:p w14:paraId="13286B65">
      <w:pPr>
        <w:pStyle w:val="6"/>
        <w:snapToGrid w:val="0"/>
        <w:spacing w:before="40" w:after="40" w:line="240" w:lineRule="auto"/>
        <w:rPr>
          <w:rFonts w:ascii="宋体" w:hAnsi="宋体" w:eastAsia="宋体"/>
          <w:b/>
          <w:sz w:val="21"/>
          <w:szCs w:val="21"/>
        </w:rPr>
      </w:pPr>
      <w:bookmarkStart w:id="0" w:name="_Toc19332"/>
      <w:bookmarkStart w:id="1" w:name="_Toc105770493"/>
      <w:r>
        <w:rPr>
          <w:rFonts w:hint="eastAsia" w:ascii="宋体" w:hAnsi="宋体" w:eastAsia="宋体"/>
          <w:b/>
          <w:sz w:val="21"/>
          <w:szCs w:val="21"/>
        </w:rPr>
        <w:t>招标公告</w:t>
      </w:r>
      <w:bookmarkEnd w:id="0"/>
      <w:bookmarkEnd w:id="1"/>
    </w:p>
    <w:p w14:paraId="6FC986BB">
      <w:pPr>
        <w:pStyle w:val="7"/>
        <w:snapToGrid w:val="0"/>
        <w:spacing w:before="40" w:after="40" w:line="240" w:lineRule="auto"/>
        <w:rPr>
          <w:rFonts w:ascii="宋体" w:hAnsi="宋体" w:eastAsia="宋体"/>
          <w:sz w:val="21"/>
          <w:szCs w:val="21"/>
        </w:rPr>
      </w:pPr>
      <w:r>
        <w:rPr>
          <w:rFonts w:hint="eastAsia" w:ascii="宋体" w:hAnsi="宋体" w:eastAsia="宋体"/>
          <w:sz w:val="21"/>
          <w:szCs w:val="21"/>
        </w:rPr>
        <w:t>招标公告</w:t>
      </w:r>
    </w:p>
    <w:p w14:paraId="1428B724"/>
    <w:p w14:paraId="1E76A0EE">
      <w:pPr>
        <w:widowControl/>
        <w:snapToGrid w:val="0"/>
        <w:spacing w:line="360" w:lineRule="auto"/>
        <w:ind w:firstLine="420" w:firstLineChars="200"/>
        <w:jc w:val="left"/>
        <w:rPr>
          <w:rFonts w:ascii="宋体" w:hAnsi="宋体" w:cs="宋体"/>
          <w:bCs/>
          <w:kern w:val="0"/>
          <w:szCs w:val="21"/>
          <w:lang w:bidi="or-IN"/>
        </w:rPr>
      </w:pPr>
      <w:r>
        <w:rPr>
          <w:rFonts w:hint="eastAsia" w:ascii="宋体" w:hAnsi="宋体" w:cs="宋体"/>
          <w:bCs/>
          <w:kern w:val="0"/>
          <w:szCs w:val="21"/>
          <w:lang w:bidi="or-IN"/>
        </w:rPr>
        <w:t>本项目为江苏省某单位设备100070招标项目（项目编号：ZYJC-ZX-202510-0057），招标人为扬州北辰电气集团有限公司</w:t>
      </w:r>
      <w:r>
        <w:rPr>
          <w:rFonts w:ascii="宋体" w:hAnsi="宋体" w:cs="宋体"/>
          <w:bCs/>
          <w:kern w:val="0"/>
          <w:szCs w:val="21"/>
          <w:lang w:bidi="or-IN"/>
        </w:rPr>
        <w:t>（以下简称“</w:t>
      </w:r>
      <w:r>
        <w:rPr>
          <w:rFonts w:hint="eastAsia" w:ascii="宋体" w:hAnsi="宋体" w:cs="宋体"/>
          <w:bCs/>
          <w:kern w:val="0"/>
          <w:szCs w:val="21"/>
          <w:lang w:bidi="or-IN"/>
        </w:rPr>
        <w:t>招标人</w:t>
      </w:r>
      <w:r>
        <w:rPr>
          <w:rFonts w:ascii="宋体" w:hAnsi="宋体" w:cs="宋体"/>
          <w:bCs/>
          <w:kern w:val="0"/>
          <w:szCs w:val="21"/>
          <w:lang w:bidi="or-IN"/>
        </w:rPr>
        <w:t>”）</w:t>
      </w:r>
      <w:r>
        <w:rPr>
          <w:rFonts w:hint="eastAsia" w:ascii="宋体" w:hAnsi="宋体" w:cs="宋体"/>
          <w:bCs/>
          <w:kern w:val="0"/>
          <w:szCs w:val="21"/>
          <w:lang w:bidi="or-IN"/>
        </w:rPr>
        <w:t>。项目资金已落实。项目已具备招标条件，现进行公开招标。</w:t>
      </w:r>
    </w:p>
    <w:p w14:paraId="2BA0E919">
      <w:pPr>
        <w:numPr>
          <w:ilvl w:val="0"/>
          <w:numId w:val="4"/>
        </w:numPr>
        <w:snapToGrid w:val="0"/>
        <w:spacing w:line="360" w:lineRule="auto"/>
        <w:rPr>
          <w:rFonts w:ascii="宋体" w:hAnsi="宋体"/>
          <w:b/>
          <w:szCs w:val="21"/>
        </w:rPr>
      </w:pPr>
      <w:r>
        <w:rPr>
          <w:rFonts w:hint="eastAsia" w:ascii="宋体" w:hAnsi="宋体"/>
          <w:b/>
          <w:szCs w:val="21"/>
        </w:rPr>
        <w:t>招标服务内容及规模：</w:t>
      </w:r>
    </w:p>
    <w:p w14:paraId="64E3AB43">
      <w:pPr>
        <w:widowControl/>
        <w:snapToGrid w:val="0"/>
        <w:spacing w:line="360" w:lineRule="auto"/>
        <w:ind w:firstLine="420" w:firstLineChars="200"/>
        <w:jc w:val="left"/>
        <w:rPr>
          <w:rFonts w:ascii="宋体" w:hAnsi="宋体" w:cs="宋体"/>
          <w:bCs/>
          <w:kern w:val="0"/>
          <w:szCs w:val="21"/>
          <w:lang w:bidi="or-IN"/>
        </w:rPr>
      </w:pPr>
      <w:r>
        <w:rPr>
          <w:rFonts w:hint="eastAsia" w:ascii="宋体" w:hAnsi="宋体" w:cs="宋体"/>
          <w:bCs/>
          <w:kern w:val="0"/>
          <w:szCs w:val="21"/>
          <w:lang w:bidi="or-IN"/>
        </w:rPr>
        <w:t>1、招标内容：设备。</w:t>
      </w:r>
    </w:p>
    <w:p w14:paraId="3BDACC67">
      <w:pPr>
        <w:autoSpaceDE w:val="0"/>
        <w:autoSpaceDN w:val="0"/>
        <w:snapToGrid w:val="0"/>
        <w:spacing w:line="360" w:lineRule="auto"/>
        <w:ind w:firstLine="420" w:firstLineChars="200"/>
        <w:rPr>
          <w:rFonts w:ascii="宋体" w:hAnsi="宋体"/>
          <w:szCs w:val="21"/>
        </w:rPr>
      </w:pPr>
      <w:r>
        <w:rPr>
          <w:rFonts w:hint="eastAsia" w:ascii="宋体" w:hAnsi="宋体"/>
          <w:szCs w:val="21"/>
        </w:rPr>
        <w:t>2、招标规模：详见招标文件。</w:t>
      </w:r>
    </w:p>
    <w:p w14:paraId="62A00EA7">
      <w:pPr>
        <w:numPr>
          <w:ilvl w:val="0"/>
          <w:numId w:val="4"/>
        </w:numPr>
        <w:snapToGrid w:val="0"/>
        <w:spacing w:line="360" w:lineRule="auto"/>
        <w:rPr>
          <w:rFonts w:ascii="宋体" w:hAnsi="宋体"/>
          <w:b/>
          <w:szCs w:val="21"/>
        </w:rPr>
      </w:pPr>
      <w:r>
        <w:rPr>
          <w:rFonts w:hint="eastAsia" w:ascii="宋体" w:hAnsi="宋体"/>
          <w:b/>
          <w:szCs w:val="21"/>
        </w:rPr>
        <w:t>资格要求：</w:t>
      </w:r>
    </w:p>
    <w:p w14:paraId="0E60A028">
      <w:pPr>
        <w:widowControl/>
        <w:snapToGrid w:val="0"/>
        <w:spacing w:line="360" w:lineRule="auto"/>
        <w:ind w:firstLine="420" w:firstLineChars="200"/>
        <w:jc w:val="left"/>
        <w:rPr>
          <w:rFonts w:ascii="宋体" w:hAnsi="宋体"/>
          <w:szCs w:val="21"/>
        </w:rPr>
      </w:pPr>
      <w:r>
        <w:rPr>
          <w:rFonts w:hint="eastAsia" w:ascii="宋体" w:hAnsi="宋体" w:cs="宋体"/>
          <w:bCs/>
          <w:color w:val="000000"/>
          <w:kern w:val="0"/>
          <w:szCs w:val="21"/>
          <w:lang w:bidi="or-IN"/>
        </w:rPr>
        <w:t>本次招标采用资格后审方式，由评审委员会按照招标文件规定的供应商资质要求对供应商的资格进行审查</w:t>
      </w:r>
      <w:r>
        <w:rPr>
          <w:rFonts w:hint="eastAsia" w:ascii="宋体" w:hAnsi="宋体"/>
          <w:szCs w:val="21"/>
        </w:rPr>
        <w:t>。</w:t>
      </w:r>
      <w:r>
        <w:rPr>
          <w:rFonts w:hint="eastAsia" w:ascii="宋体" w:hAnsi="宋体" w:cs="宋体"/>
          <w:bCs/>
          <w:color w:val="000000"/>
          <w:kern w:val="0"/>
          <w:szCs w:val="21"/>
          <w:lang w:bidi="or-IN"/>
        </w:rPr>
        <w:t>对通过资格审查的供应商，参与后续评审工作，未通过资格审查的供应商将不参与后续评审工作。</w:t>
      </w:r>
      <w:r>
        <w:rPr>
          <w:rFonts w:hint="eastAsia" w:ascii="宋体" w:hAnsi="宋体"/>
          <w:szCs w:val="21"/>
        </w:rPr>
        <w:t>本次招标中，供应商必须具备以下资质条件，不满足任一条件，视为资格审查不通过。</w:t>
      </w:r>
    </w:p>
    <w:p w14:paraId="131B84FA">
      <w:pPr>
        <w:widowControl/>
        <w:tabs>
          <w:tab w:val="left" w:pos="709"/>
        </w:tabs>
        <w:snapToGrid w:val="0"/>
        <w:spacing w:line="360" w:lineRule="auto"/>
        <w:ind w:left="200"/>
        <w:jc w:val="left"/>
        <w:rPr>
          <w:rFonts w:ascii="宋体" w:hAnsi="宋体"/>
          <w:kern w:val="0"/>
          <w:szCs w:val="21"/>
        </w:rPr>
      </w:pPr>
      <w:r>
        <w:rPr>
          <w:rFonts w:hint="eastAsia" w:ascii="宋体" w:hAnsi="宋体"/>
          <w:kern w:val="0"/>
          <w:szCs w:val="21"/>
        </w:rPr>
        <w:t>1、应答人须在中华人民共和国境内依法注册，具有合法的企业法人营业执照或其它组织经营证明。提供营业执照或其他组织处于存续或在业等正常状态的营业执照或事业单位法人证书或其他组织经营证明（如是分支机构应答，则须提供其法人或非法人组织所出具加盖公章的授权证明；同一法人或非法人组织及其多个不具备法人资格的分支机构同时参加同一招标标包或未划分标包的同一项目的，应答均无效）。</w:t>
      </w:r>
    </w:p>
    <w:p w14:paraId="4A4ED379">
      <w:pPr>
        <w:widowControl/>
        <w:tabs>
          <w:tab w:val="left" w:pos="709"/>
        </w:tabs>
        <w:snapToGrid w:val="0"/>
        <w:spacing w:line="360" w:lineRule="auto"/>
        <w:ind w:left="200"/>
        <w:jc w:val="left"/>
        <w:rPr>
          <w:rFonts w:ascii="宋体" w:hAnsi="宋体"/>
          <w:kern w:val="0"/>
          <w:szCs w:val="21"/>
        </w:rPr>
      </w:pPr>
      <w:r>
        <w:rPr>
          <w:rFonts w:hint="eastAsia" w:ascii="宋体" w:hAnsi="宋体"/>
          <w:kern w:val="0"/>
          <w:szCs w:val="21"/>
        </w:rPr>
        <w:t>2、不接受联合体供应商应答</w:t>
      </w:r>
    </w:p>
    <w:p w14:paraId="03BA4B18">
      <w:pPr>
        <w:widowControl/>
        <w:tabs>
          <w:tab w:val="left" w:pos="709"/>
        </w:tabs>
        <w:snapToGrid w:val="0"/>
        <w:spacing w:line="360" w:lineRule="auto"/>
        <w:ind w:left="200"/>
        <w:jc w:val="left"/>
      </w:pPr>
      <w:r>
        <w:rPr>
          <w:rFonts w:hint="eastAsia" w:ascii="宋体" w:hAnsi="宋体"/>
          <w:kern w:val="0"/>
          <w:szCs w:val="21"/>
        </w:rPr>
        <w:t>3、不处于被责令停业、财产被接管、冻结、破产状态。</w:t>
      </w:r>
    </w:p>
    <w:p w14:paraId="3073F0B9">
      <w:pPr>
        <w:numPr>
          <w:ilvl w:val="0"/>
          <w:numId w:val="4"/>
        </w:numPr>
        <w:snapToGrid w:val="0"/>
        <w:spacing w:line="360" w:lineRule="auto"/>
        <w:rPr>
          <w:rFonts w:ascii="宋体" w:hAnsi="宋体"/>
          <w:b/>
          <w:szCs w:val="21"/>
        </w:rPr>
      </w:pPr>
      <w:r>
        <w:rPr>
          <w:rFonts w:hint="eastAsia" w:ascii="宋体" w:hAnsi="宋体"/>
          <w:b/>
          <w:szCs w:val="21"/>
        </w:rPr>
        <w:t>招标文件</w:t>
      </w:r>
      <w:r>
        <w:rPr>
          <w:rFonts w:ascii="宋体" w:hAnsi="宋体"/>
          <w:b/>
          <w:szCs w:val="21"/>
        </w:rPr>
        <w:t>的获取</w:t>
      </w:r>
      <w:r>
        <w:rPr>
          <w:rFonts w:hint="eastAsia" w:ascii="宋体" w:hAnsi="宋体"/>
          <w:b/>
          <w:szCs w:val="21"/>
        </w:rPr>
        <w:t>：</w:t>
      </w:r>
    </w:p>
    <w:p w14:paraId="148D87B6">
      <w:pPr>
        <w:snapToGrid w:val="0"/>
        <w:spacing w:line="360" w:lineRule="auto"/>
        <w:ind w:firstLine="420" w:firstLineChars="200"/>
        <w:rPr>
          <w:rFonts w:ascii="宋体" w:hAnsi="宋体"/>
          <w:szCs w:val="21"/>
          <w:highlight w:val="none"/>
        </w:rPr>
      </w:pPr>
      <w:r>
        <w:rPr>
          <w:rFonts w:hint="eastAsia" w:ascii="宋体" w:hAnsi="宋体"/>
          <w:szCs w:val="21"/>
        </w:rPr>
        <w:t>本项目通过“扬州北辰电气集团有限公司”发</w:t>
      </w:r>
      <w:r>
        <w:rPr>
          <w:rFonts w:hint="eastAsia" w:ascii="宋体" w:hAnsi="宋体"/>
          <w:szCs w:val="21"/>
          <w:highlight w:val="none"/>
        </w:rPr>
        <w:t>售电子版招标文件，不再出售纸质招标文件。凡有意参与的潜在供应商，请自 2025 年1</w:t>
      </w:r>
      <w:r>
        <w:rPr>
          <w:rFonts w:ascii="宋体" w:hAnsi="宋体"/>
          <w:szCs w:val="21"/>
          <w:highlight w:val="none"/>
        </w:rPr>
        <w:t>1</w:t>
      </w:r>
      <w:r>
        <w:rPr>
          <w:rFonts w:hint="eastAsia" w:ascii="宋体" w:hAnsi="宋体"/>
          <w:szCs w:val="21"/>
          <w:highlight w:val="none"/>
        </w:rPr>
        <w:t>月</w:t>
      </w:r>
      <w:r>
        <w:rPr>
          <w:rFonts w:hint="eastAsia" w:ascii="宋体" w:hAnsi="宋体"/>
          <w:b/>
          <w:bCs/>
          <w:szCs w:val="21"/>
          <w:highlight w:val="none"/>
          <w:lang w:val="en-US" w:eastAsia="zh-CN"/>
        </w:rPr>
        <w:t>10</w:t>
      </w:r>
      <w:r>
        <w:rPr>
          <w:rFonts w:hint="eastAsia" w:ascii="宋体" w:hAnsi="宋体"/>
          <w:szCs w:val="21"/>
          <w:highlight w:val="none"/>
        </w:rPr>
        <w:t>日</w:t>
      </w:r>
      <w:r>
        <w:rPr>
          <w:rFonts w:hint="eastAsia" w:ascii="宋体" w:hAnsi="宋体"/>
          <w:szCs w:val="21"/>
          <w:highlight w:val="none"/>
          <w:lang w:val="en-US" w:eastAsia="zh-CN"/>
        </w:rPr>
        <w:t>14</w:t>
      </w:r>
      <w:r>
        <w:rPr>
          <w:rFonts w:hint="eastAsia" w:ascii="宋体" w:hAnsi="宋体"/>
          <w:szCs w:val="21"/>
          <w:highlight w:val="none"/>
        </w:rPr>
        <w:t>时00分起(北京时间，下同)通过“扬州北辰电气集团有限公司网站”(http://www.yzbeichen.com/)下同）即可获取。</w:t>
      </w:r>
    </w:p>
    <w:p w14:paraId="2AF2F05B">
      <w:pPr>
        <w:numPr>
          <w:ilvl w:val="0"/>
          <w:numId w:val="4"/>
        </w:numPr>
        <w:snapToGrid w:val="0"/>
        <w:spacing w:line="360" w:lineRule="auto"/>
        <w:rPr>
          <w:rFonts w:ascii="宋体" w:hAnsi="宋体"/>
          <w:b/>
          <w:szCs w:val="21"/>
          <w:highlight w:val="none"/>
        </w:rPr>
      </w:pPr>
      <w:r>
        <w:rPr>
          <w:rFonts w:hint="eastAsia" w:ascii="宋体" w:hAnsi="宋体"/>
          <w:b/>
          <w:szCs w:val="21"/>
          <w:highlight w:val="none"/>
        </w:rPr>
        <w:t>应答文件的递交</w:t>
      </w:r>
    </w:p>
    <w:p w14:paraId="678656EE">
      <w:pPr>
        <w:snapToGrid w:val="0"/>
        <w:spacing w:line="360" w:lineRule="auto"/>
        <w:ind w:firstLine="420" w:firstLineChars="200"/>
        <w:rPr>
          <w:rFonts w:ascii="宋体" w:hAnsi="宋体"/>
          <w:szCs w:val="21"/>
          <w:highlight w:val="none"/>
        </w:rPr>
      </w:pPr>
      <w:r>
        <w:rPr>
          <w:rFonts w:hint="eastAsia" w:ascii="宋体" w:hAnsi="宋体"/>
          <w:szCs w:val="21"/>
          <w:highlight w:val="none"/>
        </w:rPr>
        <w:t>4.1 本项目不接受纸质应答文件的递交（应答保函除外&lt;如有&gt;）。</w:t>
      </w:r>
    </w:p>
    <w:p w14:paraId="2268A8FE">
      <w:pPr>
        <w:snapToGrid w:val="0"/>
        <w:spacing w:line="360" w:lineRule="auto"/>
        <w:ind w:firstLine="420" w:firstLineChars="200"/>
        <w:rPr>
          <w:rFonts w:ascii="宋体" w:hAnsi="宋体"/>
          <w:szCs w:val="21"/>
        </w:rPr>
      </w:pPr>
      <w:r>
        <w:rPr>
          <w:rFonts w:hint="eastAsia" w:ascii="宋体" w:hAnsi="宋体"/>
          <w:szCs w:val="21"/>
          <w:highlight w:val="none"/>
        </w:rPr>
        <w:t>4.2 电子应答文件递交的截止时间（应答截止时间，下同）为：2025年1</w:t>
      </w:r>
      <w:r>
        <w:rPr>
          <w:rFonts w:ascii="宋体" w:hAnsi="宋体"/>
          <w:szCs w:val="21"/>
          <w:highlight w:val="none"/>
        </w:rPr>
        <w:t>1</w:t>
      </w:r>
      <w:r>
        <w:rPr>
          <w:rFonts w:hint="eastAsia" w:ascii="宋体" w:hAnsi="宋体"/>
          <w:szCs w:val="21"/>
          <w:highlight w:val="none"/>
        </w:rPr>
        <w:t>月</w:t>
      </w:r>
      <w:r>
        <w:rPr>
          <w:rFonts w:hint="eastAsia" w:ascii="宋体" w:hAnsi="宋体"/>
          <w:b/>
          <w:bCs/>
          <w:szCs w:val="21"/>
          <w:highlight w:val="none"/>
          <w:lang w:val="en-US" w:eastAsia="zh-CN"/>
        </w:rPr>
        <w:t>13</w:t>
      </w:r>
      <w:r>
        <w:rPr>
          <w:rFonts w:hint="eastAsia" w:ascii="宋体" w:hAnsi="宋体"/>
          <w:szCs w:val="21"/>
          <w:highlight w:val="none"/>
        </w:rPr>
        <w:t>日</w:t>
      </w:r>
      <w:r>
        <w:rPr>
          <w:rFonts w:hint="eastAsia" w:ascii="宋体" w:hAnsi="宋体"/>
          <w:szCs w:val="21"/>
          <w:lang w:val="en-US" w:eastAsia="zh-CN"/>
        </w:rPr>
        <w:t>14</w:t>
      </w:r>
      <w:r>
        <w:rPr>
          <w:rFonts w:hint="eastAsia" w:ascii="宋体" w:hAnsi="宋体"/>
          <w:szCs w:val="21"/>
        </w:rPr>
        <w:t>时30分。需通发电子邮件至扬州北辰电气集团有限公司指定邮箱</w:t>
      </w:r>
      <w:r>
        <w:fldChar w:fldCharType="begin"/>
      </w:r>
      <w:r>
        <w:instrText xml:space="preserve"> HYPERLINK "mailto:beichenjianchabu@163.com" </w:instrText>
      </w:r>
      <w:r>
        <w:fldChar w:fldCharType="separate"/>
      </w:r>
      <w:r>
        <w:rPr>
          <w:rStyle w:val="44"/>
          <w:rFonts w:hint="eastAsia"/>
          <w:sz w:val="23"/>
          <w:szCs w:val="23"/>
        </w:rPr>
        <w:t>beichenjianchabu@163.com</w:t>
      </w:r>
      <w:r>
        <w:rPr>
          <w:rStyle w:val="44"/>
          <w:rFonts w:hint="eastAsia"/>
          <w:sz w:val="23"/>
          <w:szCs w:val="23"/>
        </w:rPr>
        <w:fldChar w:fldCharType="end"/>
      </w:r>
      <w:r>
        <w:rPr>
          <w:color w:val="000000"/>
          <w:sz w:val="23"/>
          <w:szCs w:val="23"/>
          <w:u w:val="single"/>
        </w:rPr>
        <w:t>，</w:t>
      </w:r>
      <w:r>
        <w:rPr>
          <w:rFonts w:hint="eastAsia"/>
          <w:color w:val="000000"/>
          <w:sz w:val="20"/>
          <w:szCs w:val="20"/>
          <w:shd w:val="clear" w:color="auto" w:fill="FFFFFF"/>
        </w:rPr>
        <w:t>同时请将加密文件密码发至物资部邮箱</w:t>
      </w:r>
      <w:r>
        <w:fldChar w:fldCharType="begin"/>
      </w:r>
      <w:r>
        <w:instrText xml:space="preserve"> HYPERLINK "mailto:bcwuzi@163.com" </w:instrText>
      </w:r>
      <w:r>
        <w:fldChar w:fldCharType="separate"/>
      </w:r>
      <w:r>
        <w:rPr>
          <w:rStyle w:val="44"/>
          <w:rFonts w:hint="eastAsia"/>
          <w:color w:val="3370FF"/>
          <w:sz w:val="20"/>
          <w:szCs w:val="20"/>
          <w:shd w:val="clear" w:color="auto" w:fill="FFFFFF"/>
        </w:rPr>
        <w:t>bcwuzi@163.com</w:t>
      </w:r>
      <w:r>
        <w:rPr>
          <w:rStyle w:val="44"/>
          <w:rFonts w:hint="eastAsia"/>
          <w:color w:val="3370FF"/>
          <w:sz w:val="20"/>
          <w:szCs w:val="20"/>
          <w:shd w:val="clear" w:color="auto" w:fill="FFFFFF"/>
        </w:rPr>
        <w:fldChar w:fldCharType="end"/>
      </w:r>
      <w:r>
        <w:rPr>
          <w:rFonts w:hint="eastAsia" w:ascii="宋体" w:hAnsi="宋体"/>
          <w:szCs w:val="21"/>
        </w:rPr>
        <w:t>。</w:t>
      </w:r>
    </w:p>
    <w:p w14:paraId="66245B39">
      <w:pPr>
        <w:snapToGrid w:val="0"/>
        <w:spacing w:line="360" w:lineRule="auto"/>
        <w:ind w:firstLine="420" w:firstLineChars="200"/>
        <w:jc w:val="left"/>
        <w:rPr>
          <w:rFonts w:ascii="宋体" w:hAnsi="宋体"/>
          <w:szCs w:val="21"/>
        </w:rPr>
      </w:pPr>
      <w:r>
        <w:rPr>
          <w:rFonts w:hint="eastAsia" w:ascii="宋体" w:hAnsi="宋体"/>
          <w:szCs w:val="21"/>
        </w:rPr>
        <w:t>4.3 出现下列情形之一时，招标人不予接收其应答文件：</w:t>
      </w:r>
    </w:p>
    <w:p w14:paraId="689BF506">
      <w:pPr>
        <w:snapToGrid w:val="0"/>
        <w:spacing w:line="360" w:lineRule="auto"/>
        <w:ind w:firstLine="420" w:firstLineChars="200"/>
        <w:jc w:val="left"/>
        <w:rPr>
          <w:rFonts w:ascii="宋体" w:hAnsi="宋体"/>
          <w:szCs w:val="21"/>
        </w:rPr>
      </w:pPr>
      <w:r>
        <w:rPr>
          <w:rFonts w:hint="eastAsia" w:ascii="宋体" w:hAnsi="宋体"/>
          <w:szCs w:val="21"/>
        </w:rPr>
        <w:t>4.3.1 逾期递交或者未递交应答文件至“扬州北辰电气集团有限公司官网”的应答人；</w:t>
      </w:r>
    </w:p>
    <w:p w14:paraId="07DC4E1A">
      <w:pPr>
        <w:snapToGrid w:val="0"/>
        <w:spacing w:line="360" w:lineRule="auto"/>
        <w:ind w:firstLine="420" w:firstLineChars="200"/>
        <w:jc w:val="left"/>
        <w:rPr>
          <w:rFonts w:ascii="宋体" w:hAnsi="宋体"/>
          <w:szCs w:val="21"/>
        </w:rPr>
      </w:pPr>
      <w:r>
        <w:rPr>
          <w:rFonts w:hint="eastAsia" w:ascii="宋体" w:hAnsi="宋体"/>
          <w:szCs w:val="21"/>
        </w:rPr>
        <w:t>4.3.2未通过“扬州北辰电气集团有限公司官网”获取招标文件的应答人。</w:t>
      </w:r>
    </w:p>
    <w:p w14:paraId="79069003">
      <w:pPr>
        <w:numPr>
          <w:ilvl w:val="0"/>
          <w:numId w:val="4"/>
        </w:numPr>
        <w:snapToGrid w:val="0"/>
        <w:spacing w:line="360" w:lineRule="auto"/>
        <w:rPr>
          <w:rFonts w:ascii="宋体" w:hAnsi="宋体"/>
          <w:b/>
          <w:szCs w:val="21"/>
        </w:rPr>
      </w:pPr>
      <w:r>
        <w:rPr>
          <w:rFonts w:hint="eastAsia" w:ascii="宋体" w:hAnsi="宋体"/>
          <w:b/>
          <w:szCs w:val="21"/>
        </w:rPr>
        <w:t xml:space="preserve">电子应答规则 </w:t>
      </w:r>
    </w:p>
    <w:p w14:paraId="49AC44EA">
      <w:pPr>
        <w:snapToGrid w:val="0"/>
        <w:spacing w:line="360" w:lineRule="auto"/>
        <w:ind w:firstLine="420" w:firstLineChars="200"/>
        <w:rPr>
          <w:rFonts w:ascii="宋体" w:hAnsi="宋体"/>
          <w:szCs w:val="21"/>
        </w:rPr>
      </w:pPr>
      <w:r>
        <w:rPr>
          <w:rFonts w:hint="eastAsia" w:ascii="宋体" w:hAnsi="宋体"/>
          <w:szCs w:val="21"/>
        </w:rPr>
        <w:t>5.1 供应商须在应答截止时间前完成电子应答文件递交。递交完成时间以“扬州北辰电气集团有限公司指定邮箱”到达时间为准；</w:t>
      </w:r>
    </w:p>
    <w:p w14:paraId="5A9E7B87">
      <w:pPr>
        <w:snapToGrid w:val="0"/>
        <w:spacing w:line="360" w:lineRule="auto"/>
        <w:ind w:firstLine="420" w:firstLineChars="200"/>
        <w:rPr>
          <w:rFonts w:ascii="宋体" w:hAnsi="宋体"/>
          <w:szCs w:val="21"/>
        </w:rPr>
      </w:pPr>
      <w:r>
        <w:rPr>
          <w:rFonts w:hint="eastAsia" w:ascii="宋体" w:hAnsi="宋体"/>
          <w:szCs w:val="21"/>
        </w:rPr>
        <w:t>5.2当个别供应商电子应答文件唱价解密异常时，由应答人自行承担相应责任。</w:t>
      </w:r>
    </w:p>
    <w:p w14:paraId="02F86A14">
      <w:pPr>
        <w:snapToGrid w:val="0"/>
        <w:spacing w:line="360" w:lineRule="auto"/>
        <w:ind w:firstLine="420" w:firstLineChars="200"/>
        <w:rPr>
          <w:rFonts w:ascii="宋体" w:hAnsi="宋体"/>
          <w:szCs w:val="21"/>
        </w:rPr>
      </w:pPr>
      <w:r>
        <w:rPr>
          <w:rFonts w:hint="eastAsia" w:ascii="宋体" w:hAnsi="宋体"/>
          <w:szCs w:val="21"/>
        </w:rPr>
        <w:t>5.3 供应商在应答截止时间之前可以多次提交或撤回电子应答文件，招标人均以最后一次的应答文件内容为准。</w:t>
      </w:r>
    </w:p>
    <w:p w14:paraId="71D247B0">
      <w:pPr>
        <w:numPr>
          <w:ilvl w:val="0"/>
          <w:numId w:val="4"/>
        </w:numPr>
        <w:snapToGrid w:val="0"/>
        <w:spacing w:line="360" w:lineRule="auto"/>
        <w:rPr>
          <w:rFonts w:ascii="宋体" w:hAnsi="宋体"/>
          <w:b/>
          <w:szCs w:val="21"/>
        </w:rPr>
      </w:pPr>
      <w:r>
        <w:rPr>
          <w:rFonts w:hint="eastAsia" w:ascii="宋体" w:hAnsi="宋体"/>
          <w:b/>
          <w:szCs w:val="21"/>
        </w:rPr>
        <w:t>发布公告的媒介</w:t>
      </w:r>
    </w:p>
    <w:p w14:paraId="5A3BF9B6">
      <w:pPr>
        <w:adjustRightInd w:val="0"/>
        <w:snapToGrid w:val="0"/>
        <w:spacing w:line="360" w:lineRule="auto"/>
        <w:ind w:firstLine="420" w:firstLineChars="200"/>
        <w:jc w:val="left"/>
        <w:rPr>
          <w:rFonts w:ascii="宋体" w:hAnsi="宋体" w:cs="宋体"/>
          <w:kern w:val="0"/>
          <w:szCs w:val="21"/>
        </w:rPr>
      </w:pPr>
      <w:r>
        <w:rPr>
          <w:rFonts w:hint="eastAsia" w:ascii="宋体" w:hAnsi="宋体"/>
          <w:szCs w:val="21"/>
        </w:rPr>
        <w:t>本次招标邀请仅通过“扬州北辰电气集团有限公司网站”进行发布，招标邀请将明确对供应商的资格要求、发售招标文件的日期和地点、应答、开启应答等事宜。</w:t>
      </w:r>
    </w:p>
    <w:p w14:paraId="7791289D">
      <w:pPr>
        <w:numPr>
          <w:ilvl w:val="0"/>
          <w:numId w:val="4"/>
        </w:numPr>
        <w:snapToGrid w:val="0"/>
        <w:spacing w:line="360" w:lineRule="auto"/>
        <w:rPr>
          <w:rFonts w:ascii="宋体" w:hAnsi="宋体"/>
          <w:b/>
          <w:szCs w:val="21"/>
        </w:rPr>
      </w:pPr>
      <w:r>
        <w:rPr>
          <w:rFonts w:hint="eastAsia" w:ascii="宋体" w:hAnsi="宋体"/>
          <w:b/>
          <w:szCs w:val="21"/>
        </w:rPr>
        <w:t>联系方式</w:t>
      </w:r>
    </w:p>
    <w:p w14:paraId="0E8C4872">
      <w:pPr>
        <w:spacing w:line="360" w:lineRule="auto"/>
        <w:jc w:val="left"/>
        <w:rPr>
          <w:rFonts w:ascii="宋体" w:hAnsi="宋体" w:cs="宋体"/>
          <w:szCs w:val="21"/>
        </w:rPr>
      </w:pPr>
      <w:r>
        <w:rPr>
          <w:rFonts w:hint="eastAsia" w:ascii="宋体" w:hAnsi="宋体" w:cs="宋体"/>
          <w:szCs w:val="21"/>
        </w:rPr>
        <w:t>（1）招标人：扬州北辰电气集团有限公司</w:t>
      </w:r>
    </w:p>
    <w:p w14:paraId="6CD32925">
      <w:pPr>
        <w:spacing w:line="360" w:lineRule="auto"/>
        <w:rPr>
          <w:rFonts w:ascii="宋体" w:hAnsi="宋体" w:cs="宋体"/>
          <w:szCs w:val="21"/>
        </w:rPr>
      </w:pPr>
      <w:r>
        <w:rPr>
          <w:rFonts w:hint="eastAsia" w:ascii="宋体" w:hAnsi="宋体" w:cs="宋体"/>
          <w:szCs w:val="21"/>
        </w:rPr>
        <w:t>地 址：江苏省扬州市鸿大路58号</w:t>
      </w:r>
    </w:p>
    <w:p w14:paraId="7CA73D8A">
      <w:pPr>
        <w:spacing w:line="360" w:lineRule="auto"/>
        <w:rPr>
          <w:rFonts w:ascii="宋体" w:hAnsi="宋体" w:cs="宋体"/>
          <w:szCs w:val="21"/>
        </w:rPr>
      </w:pPr>
      <w:r>
        <w:rPr>
          <w:rFonts w:hint="eastAsia" w:ascii="宋体" w:hAnsi="宋体" w:cs="宋体"/>
          <w:szCs w:val="21"/>
        </w:rPr>
        <w:t>联系人： 联系人：  陈飞飞      联系电话：   0514-82986316</w:t>
      </w:r>
    </w:p>
    <w:p w14:paraId="36505446">
      <w:pPr>
        <w:spacing w:line="360" w:lineRule="auto"/>
        <w:rPr>
          <w:rFonts w:ascii="宋体" w:hAnsi="宋体" w:cs="宋体"/>
          <w:szCs w:val="21"/>
        </w:rPr>
      </w:pPr>
      <w:r>
        <w:rPr>
          <w:rFonts w:hint="eastAsia" w:ascii="宋体" w:hAnsi="宋体" w:cs="宋体"/>
          <w:szCs w:val="21"/>
        </w:rPr>
        <w:t>电子邮箱：18251860230@139.com  13951708880@139.com</w:t>
      </w:r>
    </w:p>
    <w:p w14:paraId="15810623">
      <w:pPr>
        <w:numPr>
          <w:ilvl w:val="0"/>
          <w:numId w:val="4"/>
        </w:numPr>
        <w:snapToGrid w:val="0"/>
        <w:spacing w:line="360" w:lineRule="auto"/>
        <w:rPr>
          <w:rFonts w:ascii="宋体" w:hAnsi="宋体"/>
          <w:b/>
          <w:szCs w:val="21"/>
        </w:rPr>
      </w:pPr>
      <w:r>
        <w:rPr>
          <w:rFonts w:hint="eastAsia" w:ascii="宋体" w:hAnsi="宋体"/>
          <w:b/>
          <w:szCs w:val="21"/>
        </w:rPr>
        <w:t>免责声明</w:t>
      </w:r>
    </w:p>
    <w:p w14:paraId="1659535E">
      <w:pPr>
        <w:snapToGrid w:val="0"/>
        <w:spacing w:line="360" w:lineRule="auto"/>
        <w:ind w:firstLine="420" w:firstLineChars="200"/>
        <w:jc w:val="left"/>
        <w:rPr>
          <w:rFonts w:ascii="宋体" w:hAnsi="宋体" w:cs="宋体"/>
          <w:color w:val="000000"/>
          <w:kern w:val="0"/>
          <w:szCs w:val="21"/>
        </w:rPr>
      </w:pPr>
      <w:r>
        <w:rPr>
          <w:rFonts w:hint="eastAsia" w:ascii="宋体" w:hAnsi="宋体"/>
          <w:szCs w:val="21"/>
        </w:rPr>
        <w:t>我公司发布本次项目招标信息的官方媒介：“扬州北辰电气集团有限公司官网”。除上述外，我公司不在其他任何网站、论坛等媒介上发布任何招标信息，其他任何媒介上转载的、以我公司为招标主体的招标信息均为非法转载，均为无效。</w:t>
      </w:r>
    </w:p>
    <w:p w14:paraId="30A74E0C">
      <w:pPr>
        <w:numPr>
          <w:ilvl w:val="0"/>
          <w:numId w:val="4"/>
        </w:numPr>
        <w:snapToGrid w:val="0"/>
        <w:spacing w:line="360" w:lineRule="auto"/>
        <w:rPr>
          <w:rFonts w:ascii="宋体" w:hAnsi="宋体"/>
          <w:b/>
          <w:szCs w:val="21"/>
        </w:rPr>
      </w:pPr>
      <w:r>
        <w:rPr>
          <w:rFonts w:hint="eastAsia" w:ascii="宋体" w:hAnsi="宋体"/>
          <w:b/>
          <w:szCs w:val="21"/>
        </w:rPr>
        <w:t xml:space="preserve">附加项 </w:t>
      </w:r>
    </w:p>
    <w:p w14:paraId="690A4F4B">
      <w:pPr>
        <w:snapToGrid w:val="0"/>
        <w:spacing w:line="360" w:lineRule="auto"/>
        <w:ind w:firstLine="210" w:firstLineChars="100"/>
        <w:jc w:val="left"/>
        <w:rPr>
          <w:color w:val="000000" w:themeColor="text1"/>
          <w:sz w:val="20"/>
          <w:szCs w:val="21"/>
          <w14:textFill>
            <w14:solidFill>
              <w14:schemeClr w14:val="tx1"/>
            </w14:solidFill>
          </w14:textFill>
        </w:rPr>
      </w:pPr>
      <w:r>
        <w:rPr>
          <w:rFonts w:hint="eastAsia" w:ascii="宋体" w:hAnsi="宋体"/>
          <w:szCs w:val="21"/>
        </w:rPr>
        <w:t>无</w:t>
      </w:r>
      <w:r>
        <w:rPr>
          <w:rFonts w:hint="eastAsia"/>
          <w:color w:val="000000" w:themeColor="text1"/>
          <w:sz w:val="20"/>
          <w:szCs w:val="21"/>
          <w14:textFill>
            <w14:solidFill>
              <w14:schemeClr w14:val="tx1"/>
            </w14:solidFill>
          </w14:textFill>
        </w:rPr>
        <w:t>。</w:t>
      </w:r>
    </w:p>
    <w:p w14:paraId="3B228A92">
      <w:pPr>
        <w:snapToGrid w:val="0"/>
        <w:spacing w:line="360" w:lineRule="auto"/>
        <w:jc w:val="right"/>
        <w:rPr>
          <w:rFonts w:ascii="宋体" w:hAnsi="宋体" w:cs="宋体"/>
          <w:color w:val="000000"/>
          <w:kern w:val="0"/>
          <w:szCs w:val="21"/>
        </w:rPr>
      </w:pPr>
      <w:r>
        <w:rPr>
          <w:rFonts w:hint="eastAsia" w:ascii="宋体" w:hAnsi="宋体" w:cs="宋体"/>
          <w:color w:val="000000"/>
          <w:kern w:val="0"/>
          <w:szCs w:val="21"/>
        </w:rPr>
        <w:t>招标人：扬州北辰电气集团有限公司</w:t>
      </w:r>
    </w:p>
    <w:p w14:paraId="63FE7B5A">
      <w:pPr>
        <w:snapToGrid w:val="0"/>
        <w:spacing w:line="360" w:lineRule="auto"/>
        <w:jc w:val="right"/>
        <w:rPr>
          <w:rFonts w:ascii="宋体" w:hAnsi="宋体" w:cs="宋体"/>
          <w:color w:val="000000"/>
          <w:kern w:val="0"/>
          <w:szCs w:val="21"/>
        </w:rPr>
      </w:pPr>
      <w:r>
        <w:rPr>
          <w:rFonts w:hint="eastAsia" w:ascii="宋体" w:hAnsi="宋体" w:cs="宋体"/>
          <w:color w:val="000000"/>
          <w:kern w:val="0"/>
          <w:szCs w:val="21"/>
        </w:rPr>
        <w:t>2025年1</w:t>
      </w:r>
      <w:r>
        <w:rPr>
          <w:rFonts w:ascii="宋体" w:hAnsi="宋体" w:cs="宋体"/>
          <w:color w:val="000000"/>
          <w:kern w:val="0"/>
          <w:szCs w:val="21"/>
        </w:rPr>
        <w:t>1</w:t>
      </w:r>
      <w:r>
        <w:rPr>
          <w:rFonts w:hint="eastAsia" w:ascii="宋体" w:hAnsi="宋体" w:cs="宋体"/>
          <w:color w:val="000000"/>
          <w:kern w:val="0"/>
          <w:szCs w:val="21"/>
        </w:rPr>
        <w:t>月</w:t>
      </w:r>
      <w:r>
        <w:rPr>
          <w:rFonts w:hint="eastAsia" w:ascii="宋体" w:hAnsi="宋体" w:cs="宋体"/>
          <w:color w:val="000000"/>
          <w:kern w:val="0"/>
          <w:szCs w:val="21"/>
          <w:lang w:val="en-US" w:eastAsia="zh-CN"/>
        </w:rPr>
        <w:t>10</w:t>
      </w:r>
      <w:r>
        <w:rPr>
          <w:rFonts w:hint="eastAsia" w:ascii="宋体" w:hAnsi="宋体" w:cs="宋体"/>
          <w:color w:val="000000"/>
          <w:kern w:val="0"/>
          <w:szCs w:val="21"/>
        </w:rPr>
        <w:t>日</w:t>
      </w:r>
    </w:p>
    <w:p w14:paraId="7406ED6A">
      <w:pPr>
        <w:snapToGrid w:val="0"/>
        <w:spacing w:line="360" w:lineRule="auto"/>
        <w:rPr>
          <w:rFonts w:ascii="宋体" w:hAnsi="宋体" w:cs="宋体"/>
          <w:color w:val="000000"/>
          <w:kern w:val="0"/>
          <w:szCs w:val="21"/>
        </w:rPr>
      </w:pPr>
    </w:p>
    <w:p w14:paraId="2823C510">
      <w:pPr>
        <w:pStyle w:val="6"/>
        <w:snapToGrid w:val="0"/>
        <w:spacing w:line="360" w:lineRule="auto"/>
        <w:rPr>
          <w:rFonts w:ascii="宋体" w:hAnsi="宋体" w:eastAsia="宋体"/>
          <w:b/>
          <w:sz w:val="21"/>
          <w:szCs w:val="21"/>
        </w:rPr>
      </w:pPr>
      <w:bookmarkStart w:id="2" w:name="_Toc107822483"/>
      <w:bookmarkStart w:id="3" w:name="_Toc226969276"/>
      <w:bookmarkStart w:id="4" w:name="_Toc227057883"/>
      <w:r>
        <w:rPr>
          <w:rFonts w:ascii="宋体" w:hAnsi="宋体" w:eastAsia="宋体"/>
          <w:sz w:val="21"/>
          <w:szCs w:val="21"/>
        </w:rPr>
        <w:br w:type="page"/>
      </w:r>
      <w:bookmarkStart w:id="5" w:name="_Toc105770495"/>
      <w:bookmarkStart w:id="6" w:name="_Toc30918"/>
      <w:r>
        <w:rPr>
          <w:rFonts w:ascii="宋体" w:hAnsi="宋体" w:eastAsia="宋体"/>
          <w:b/>
          <w:sz w:val="21"/>
          <w:szCs w:val="21"/>
        </w:rPr>
        <w:t>应答人须知</w:t>
      </w:r>
      <w:bookmarkEnd w:id="2"/>
      <w:bookmarkEnd w:id="3"/>
      <w:bookmarkEnd w:id="4"/>
      <w:bookmarkEnd w:id="5"/>
      <w:bookmarkEnd w:id="6"/>
    </w:p>
    <w:p w14:paraId="12D8888C">
      <w:pPr>
        <w:pStyle w:val="7"/>
        <w:numPr>
          <w:ilvl w:val="0"/>
          <w:numId w:val="0"/>
        </w:numPr>
        <w:snapToGrid w:val="0"/>
        <w:spacing w:line="360" w:lineRule="auto"/>
        <w:rPr>
          <w:rFonts w:ascii="宋体" w:hAnsi="宋体" w:eastAsia="宋体"/>
          <w:b/>
          <w:sz w:val="21"/>
          <w:szCs w:val="21"/>
        </w:rPr>
      </w:pPr>
      <w:bookmarkStart w:id="7" w:name="_Toc22739"/>
      <w:bookmarkStart w:id="8" w:name="_Toc227057884"/>
      <w:bookmarkStart w:id="9" w:name="_Toc105770496"/>
      <w:bookmarkStart w:id="10" w:name="_Toc226969277"/>
      <w:r>
        <w:rPr>
          <w:rFonts w:hint="eastAsia" w:ascii="宋体" w:hAnsi="宋体" w:eastAsia="宋体"/>
          <w:b/>
          <w:sz w:val="21"/>
          <w:szCs w:val="21"/>
        </w:rPr>
        <w:t>应答人须知前附表</w:t>
      </w:r>
      <w:bookmarkEnd w:id="7"/>
      <w:bookmarkEnd w:id="8"/>
      <w:bookmarkEnd w:id="9"/>
      <w:bookmarkEnd w:id="10"/>
    </w:p>
    <w:p w14:paraId="41B4221D">
      <w:pPr>
        <w:snapToGrid w:val="0"/>
        <w:spacing w:line="360" w:lineRule="auto"/>
        <w:ind w:firstLine="424" w:firstLineChars="202"/>
      </w:pPr>
      <w:r>
        <w:rPr>
          <w:rFonts w:hint="eastAsia" w:ascii="宋体" w:hAnsi="宋体"/>
          <w:szCs w:val="21"/>
        </w:rPr>
        <w:t>本表是对应答人须知的具体补充和修改，如有矛盾，以本前附表为准。</w:t>
      </w:r>
    </w:p>
    <w:tbl>
      <w:tblPr>
        <w:tblStyle w:val="40"/>
        <w:tblW w:w="8511"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28" w:type="dxa"/>
          <w:bottom w:w="0" w:type="dxa"/>
          <w:right w:w="28" w:type="dxa"/>
        </w:tblCellMar>
      </w:tblPr>
      <w:tblGrid>
        <w:gridCol w:w="926"/>
        <w:gridCol w:w="1635"/>
        <w:gridCol w:w="5950"/>
      </w:tblGrid>
      <w:tr w14:paraId="1E55FD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5F6E80B7">
            <w:pPr>
              <w:autoSpaceDE w:val="0"/>
              <w:autoSpaceDN w:val="0"/>
              <w:snapToGrid w:val="0"/>
              <w:spacing w:line="360" w:lineRule="auto"/>
              <w:jc w:val="center"/>
              <w:rPr>
                <w:rFonts w:ascii="宋体" w:hAnsi="宋体" w:cs="宋体"/>
                <w:b/>
                <w:color w:val="000000"/>
                <w:sz w:val="20"/>
                <w:szCs w:val="20"/>
              </w:rPr>
            </w:pPr>
            <w:r>
              <w:rPr>
                <w:rFonts w:hint="eastAsia" w:ascii="宋体" w:hAnsi="宋体" w:cs="宋体"/>
                <w:b/>
                <w:color w:val="000000"/>
                <w:sz w:val="20"/>
                <w:szCs w:val="20"/>
              </w:rPr>
              <w:t>条款号</w:t>
            </w:r>
          </w:p>
        </w:tc>
        <w:tc>
          <w:tcPr>
            <w:tcW w:w="1635" w:type="dxa"/>
            <w:vAlign w:val="center"/>
          </w:tcPr>
          <w:p w14:paraId="2806B6B7">
            <w:pPr>
              <w:autoSpaceDE w:val="0"/>
              <w:autoSpaceDN w:val="0"/>
              <w:snapToGrid w:val="0"/>
              <w:spacing w:line="360" w:lineRule="auto"/>
              <w:jc w:val="center"/>
              <w:rPr>
                <w:rFonts w:ascii="宋体" w:hAnsi="宋体" w:cs="宋体"/>
                <w:b/>
                <w:color w:val="000000"/>
                <w:sz w:val="20"/>
                <w:szCs w:val="20"/>
              </w:rPr>
            </w:pPr>
            <w:r>
              <w:rPr>
                <w:rFonts w:hint="eastAsia" w:ascii="宋体" w:hAnsi="宋体" w:cs="宋体"/>
                <w:b/>
                <w:color w:val="000000"/>
                <w:sz w:val="20"/>
                <w:szCs w:val="20"/>
              </w:rPr>
              <w:t>条款名称</w:t>
            </w:r>
          </w:p>
        </w:tc>
        <w:tc>
          <w:tcPr>
            <w:tcW w:w="5950" w:type="dxa"/>
            <w:vAlign w:val="center"/>
          </w:tcPr>
          <w:p w14:paraId="38DEAEC4">
            <w:pPr>
              <w:autoSpaceDE w:val="0"/>
              <w:autoSpaceDN w:val="0"/>
              <w:snapToGrid w:val="0"/>
              <w:spacing w:line="360" w:lineRule="auto"/>
              <w:jc w:val="center"/>
              <w:rPr>
                <w:rFonts w:ascii="宋体" w:hAnsi="宋体" w:cs="宋体"/>
                <w:b/>
                <w:color w:val="000000"/>
                <w:sz w:val="20"/>
                <w:szCs w:val="20"/>
              </w:rPr>
            </w:pPr>
            <w:r>
              <w:rPr>
                <w:rFonts w:hint="eastAsia" w:ascii="宋体" w:hAnsi="宋体" w:cs="宋体"/>
                <w:b/>
                <w:color w:val="000000"/>
                <w:sz w:val="20"/>
                <w:szCs w:val="20"/>
              </w:rPr>
              <w:t>编列内容</w:t>
            </w:r>
          </w:p>
        </w:tc>
      </w:tr>
      <w:tr w14:paraId="52854D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556" w:hRule="atLeast"/>
          <w:jc w:val="center"/>
        </w:trPr>
        <w:tc>
          <w:tcPr>
            <w:tcW w:w="926" w:type="dxa"/>
            <w:vAlign w:val="center"/>
          </w:tcPr>
          <w:p w14:paraId="26911326">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2.1.1</w:t>
            </w:r>
          </w:p>
        </w:tc>
        <w:tc>
          <w:tcPr>
            <w:tcW w:w="1635" w:type="dxa"/>
            <w:vAlign w:val="center"/>
          </w:tcPr>
          <w:p w14:paraId="4C20167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招标人</w:t>
            </w:r>
          </w:p>
        </w:tc>
        <w:tc>
          <w:tcPr>
            <w:tcW w:w="5950" w:type="dxa"/>
            <w:vAlign w:val="center"/>
          </w:tcPr>
          <w:p w14:paraId="5A3B9F8B">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扬州北辰电气集团有限公司</w:t>
            </w:r>
          </w:p>
        </w:tc>
      </w:tr>
      <w:tr w14:paraId="04E372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92" w:hRule="atLeast"/>
          <w:jc w:val="center"/>
        </w:trPr>
        <w:tc>
          <w:tcPr>
            <w:tcW w:w="926" w:type="dxa"/>
            <w:vAlign w:val="center"/>
          </w:tcPr>
          <w:p w14:paraId="604C98F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2.1.2</w:t>
            </w:r>
          </w:p>
        </w:tc>
        <w:tc>
          <w:tcPr>
            <w:tcW w:w="1635" w:type="dxa"/>
            <w:vAlign w:val="center"/>
          </w:tcPr>
          <w:p w14:paraId="10401F02">
            <w:pPr>
              <w:autoSpaceDE w:val="0"/>
              <w:autoSpaceDN w:val="0"/>
              <w:snapToGrid w:val="0"/>
              <w:spacing w:line="360" w:lineRule="auto"/>
              <w:rPr>
                <w:rFonts w:ascii="宋体" w:hAnsi="宋体" w:cs="宋体"/>
                <w:sz w:val="20"/>
                <w:szCs w:val="20"/>
              </w:rPr>
            </w:pPr>
            <w:r>
              <w:rPr>
                <w:rFonts w:hint="eastAsia" w:ascii="宋体" w:hAnsi="宋体" w:cs="宋体"/>
                <w:sz w:val="20"/>
                <w:szCs w:val="20"/>
              </w:rPr>
              <w:t>项目名称</w:t>
            </w:r>
          </w:p>
        </w:tc>
        <w:tc>
          <w:tcPr>
            <w:tcW w:w="5950" w:type="dxa"/>
            <w:vAlign w:val="center"/>
          </w:tcPr>
          <w:p w14:paraId="4BDBFBF8">
            <w:pPr>
              <w:autoSpaceDE w:val="0"/>
              <w:autoSpaceDN w:val="0"/>
              <w:snapToGrid w:val="0"/>
              <w:spacing w:line="360" w:lineRule="auto"/>
              <w:rPr>
                <w:rFonts w:ascii="宋体" w:hAnsi="宋体" w:cs="宋体"/>
                <w:sz w:val="20"/>
                <w:szCs w:val="20"/>
              </w:rPr>
            </w:pPr>
            <w:r>
              <w:rPr>
                <w:rFonts w:hint="eastAsia" w:ascii="宋体" w:hAnsi="宋体" w:cs="宋体"/>
                <w:sz w:val="20"/>
                <w:szCs w:val="20"/>
              </w:rPr>
              <w:t>江苏省某单位设备100070招标项目</w:t>
            </w:r>
          </w:p>
        </w:tc>
      </w:tr>
      <w:tr w14:paraId="3FA74E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3A41967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2.3</w:t>
            </w:r>
          </w:p>
        </w:tc>
        <w:tc>
          <w:tcPr>
            <w:tcW w:w="1635" w:type="dxa"/>
            <w:vAlign w:val="center"/>
          </w:tcPr>
          <w:p w14:paraId="77CD4CC5">
            <w:pPr>
              <w:autoSpaceDE w:val="0"/>
              <w:autoSpaceDN w:val="0"/>
              <w:snapToGrid w:val="0"/>
              <w:spacing w:line="360" w:lineRule="auto"/>
              <w:rPr>
                <w:rFonts w:ascii="宋体" w:hAnsi="宋体" w:cs="宋体"/>
                <w:sz w:val="20"/>
                <w:szCs w:val="20"/>
              </w:rPr>
            </w:pPr>
            <w:r>
              <w:rPr>
                <w:rFonts w:hint="eastAsia" w:ascii="宋体" w:hAnsi="宋体" w:cs="宋体"/>
                <w:sz w:val="20"/>
                <w:szCs w:val="20"/>
              </w:rPr>
              <w:t>招标组织形式</w:t>
            </w:r>
          </w:p>
        </w:tc>
        <w:tc>
          <w:tcPr>
            <w:tcW w:w="5950" w:type="dxa"/>
            <w:vAlign w:val="center"/>
          </w:tcPr>
          <w:p w14:paraId="1F8B01DC">
            <w:pPr>
              <w:autoSpaceDE w:val="0"/>
              <w:autoSpaceDN w:val="0"/>
              <w:snapToGrid w:val="0"/>
              <w:spacing w:line="360" w:lineRule="auto"/>
              <w:rPr>
                <w:rFonts w:ascii="宋体" w:hAnsi="宋体" w:cs="宋体"/>
                <w:sz w:val="20"/>
                <w:szCs w:val="20"/>
              </w:rPr>
            </w:pPr>
            <w:r>
              <w:rPr>
                <w:rFonts w:hint="eastAsia" w:ascii="宋体" w:hAnsi="宋体" w:cs="宋体"/>
                <w:sz w:val="20"/>
                <w:szCs w:val="20"/>
              </w:rPr>
              <w:t>公开招标</w:t>
            </w:r>
          </w:p>
        </w:tc>
      </w:tr>
      <w:tr w14:paraId="5F11C3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16FD4784">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2.4</w:t>
            </w:r>
          </w:p>
        </w:tc>
        <w:tc>
          <w:tcPr>
            <w:tcW w:w="1635" w:type="dxa"/>
            <w:vAlign w:val="center"/>
          </w:tcPr>
          <w:p w14:paraId="393BEA8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招标方式</w:t>
            </w:r>
          </w:p>
        </w:tc>
        <w:tc>
          <w:tcPr>
            <w:tcW w:w="5950" w:type="dxa"/>
            <w:vAlign w:val="center"/>
          </w:tcPr>
          <w:p w14:paraId="364BC3F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竞争性招标</w:t>
            </w:r>
          </w:p>
        </w:tc>
      </w:tr>
      <w:tr w14:paraId="78B7F81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60B785B8">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2.5</w:t>
            </w:r>
          </w:p>
        </w:tc>
        <w:tc>
          <w:tcPr>
            <w:tcW w:w="1635" w:type="dxa"/>
            <w:vAlign w:val="center"/>
          </w:tcPr>
          <w:p w14:paraId="18DBFF4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资格审查方式</w:t>
            </w:r>
          </w:p>
        </w:tc>
        <w:tc>
          <w:tcPr>
            <w:tcW w:w="5950" w:type="dxa"/>
            <w:vAlign w:val="center"/>
          </w:tcPr>
          <w:p w14:paraId="6E975569">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资格后审</w:t>
            </w:r>
          </w:p>
          <w:p w14:paraId="070A549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资格后审条件见第一章</w:t>
            </w:r>
          </w:p>
        </w:tc>
      </w:tr>
      <w:tr w14:paraId="138C3E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0BFABB24">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2.6</w:t>
            </w:r>
          </w:p>
        </w:tc>
        <w:tc>
          <w:tcPr>
            <w:tcW w:w="1635" w:type="dxa"/>
            <w:vAlign w:val="center"/>
          </w:tcPr>
          <w:p w14:paraId="2AAD814C">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合格的货物和服务</w:t>
            </w:r>
          </w:p>
        </w:tc>
        <w:tc>
          <w:tcPr>
            <w:tcW w:w="5950" w:type="dxa"/>
            <w:vAlign w:val="center"/>
          </w:tcPr>
          <w:p w14:paraId="6FF071F6">
            <w:pPr>
              <w:keepNext/>
              <w:keepLines/>
              <w:numPr>
                <w:ilvl w:val="1"/>
                <w:numId w:val="0"/>
              </w:numPr>
            </w:pPr>
            <w:r>
              <w:rPr>
                <w:rFonts w:hint="eastAsia"/>
              </w:rPr>
              <w:t>如果应答的货物实行生产许可证制度的，应有生产许可证。在电信设备进网许可证制度范围内的设备，应有进网许可证。</w:t>
            </w:r>
          </w:p>
        </w:tc>
      </w:tr>
      <w:tr w14:paraId="64E04D8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338F99D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2.8</w:t>
            </w:r>
          </w:p>
        </w:tc>
        <w:tc>
          <w:tcPr>
            <w:tcW w:w="1635" w:type="dxa"/>
            <w:vAlign w:val="center"/>
          </w:tcPr>
          <w:p w14:paraId="7C098BA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招标文件的组成</w:t>
            </w:r>
          </w:p>
        </w:tc>
        <w:tc>
          <w:tcPr>
            <w:tcW w:w="5950" w:type="dxa"/>
            <w:vAlign w:val="center"/>
          </w:tcPr>
          <w:p w14:paraId="268DD58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第一章 招标公告</w:t>
            </w:r>
          </w:p>
          <w:p w14:paraId="25F6491F">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第二章 应答人须知</w:t>
            </w:r>
          </w:p>
          <w:p w14:paraId="07E01D4E">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第三章 商务规范书</w:t>
            </w:r>
          </w:p>
          <w:p w14:paraId="4944262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第四章 技术规范书</w:t>
            </w:r>
          </w:p>
          <w:p w14:paraId="47807238">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第五章 评审办法</w:t>
            </w:r>
          </w:p>
          <w:p w14:paraId="0070900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第六章 应答文件格式</w:t>
            </w:r>
          </w:p>
        </w:tc>
      </w:tr>
      <w:tr w14:paraId="301C6AA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4CBDACB8">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2.9</w:t>
            </w:r>
          </w:p>
        </w:tc>
        <w:tc>
          <w:tcPr>
            <w:tcW w:w="1635" w:type="dxa"/>
            <w:vAlign w:val="center"/>
          </w:tcPr>
          <w:p w14:paraId="5A483AF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预备会</w:t>
            </w:r>
          </w:p>
        </w:tc>
        <w:tc>
          <w:tcPr>
            <w:tcW w:w="5950" w:type="dxa"/>
            <w:vAlign w:val="center"/>
          </w:tcPr>
          <w:p w14:paraId="3034565E">
            <w:pPr>
              <w:autoSpaceDE w:val="0"/>
              <w:autoSpaceDN w:val="0"/>
              <w:snapToGrid w:val="0"/>
              <w:spacing w:line="360" w:lineRule="auto"/>
              <w:rPr>
                <w:rFonts w:ascii="宋体" w:hAnsi="宋体" w:cs="宋体"/>
                <w:sz w:val="20"/>
                <w:szCs w:val="20"/>
              </w:rPr>
            </w:pPr>
            <w:r>
              <w:rPr>
                <w:rFonts w:hint="eastAsia" w:ascii="宋体" w:hAnsi="宋体" w:cs="宋体"/>
                <w:sz w:val="20"/>
                <w:szCs w:val="20"/>
              </w:rPr>
              <w:t>不召开</w:t>
            </w:r>
          </w:p>
        </w:tc>
      </w:tr>
      <w:tr w14:paraId="16E6258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756F0A55">
            <w:pPr>
              <w:autoSpaceDE w:val="0"/>
              <w:autoSpaceDN w:val="0"/>
              <w:snapToGrid w:val="0"/>
              <w:spacing w:line="360" w:lineRule="auto"/>
              <w:rPr>
                <w:rFonts w:ascii="宋体" w:hAnsi="宋体" w:cs="宋体"/>
                <w:sz w:val="20"/>
                <w:szCs w:val="20"/>
              </w:rPr>
            </w:pPr>
            <w:r>
              <w:rPr>
                <w:rFonts w:hint="eastAsia" w:ascii="宋体" w:hAnsi="宋体" w:cs="宋体"/>
                <w:color w:val="000000"/>
                <w:sz w:val="20"/>
                <w:szCs w:val="20"/>
              </w:rPr>
              <w:t>2.10</w:t>
            </w:r>
          </w:p>
        </w:tc>
        <w:tc>
          <w:tcPr>
            <w:tcW w:w="1635" w:type="dxa"/>
            <w:vAlign w:val="center"/>
          </w:tcPr>
          <w:p w14:paraId="0C337119">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招标文件的澄清与修改</w:t>
            </w:r>
          </w:p>
        </w:tc>
        <w:tc>
          <w:tcPr>
            <w:tcW w:w="5950" w:type="dxa"/>
            <w:vAlign w:val="center"/>
          </w:tcPr>
          <w:p w14:paraId="4BE80790">
            <w:pPr>
              <w:autoSpaceDE w:val="0"/>
              <w:autoSpaceDN w:val="0"/>
              <w:snapToGrid w:val="0"/>
              <w:spacing w:line="360" w:lineRule="auto"/>
              <w:rPr>
                <w:rFonts w:ascii="宋体" w:hAnsi="宋体" w:cs="宋体"/>
                <w:sz w:val="20"/>
                <w:szCs w:val="20"/>
              </w:rPr>
            </w:pPr>
            <w:r>
              <w:rPr>
                <w:rFonts w:hint="eastAsia" w:ascii="宋体" w:hAnsi="宋体" w:cs="宋体"/>
                <w:sz w:val="20"/>
                <w:szCs w:val="20"/>
              </w:rPr>
              <w:t>本条款增加：</w:t>
            </w:r>
          </w:p>
          <w:p w14:paraId="79479FE7">
            <w:pPr>
              <w:autoSpaceDE w:val="0"/>
              <w:autoSpaceDN w:val="0"/>
              <w:snapToGrid w:val="0"/>
              <w:spacing w:line="360" w:lineRule="auto"/>
              <w:jc w:val="left"/>
              <w:rPr>
                <w:rFonts w:ascii="宋体" w:hAnsi="宋体" w:cs="宋体"/>
                <w:color w:val="000000"/>
                <w:sz w:val="20"/>
                <w:szCs w:val="20"/>
              </w:rPr>
            </w:pPr>
            <w:r>
              <w:rPr>
                <w:rFonts w:hint="eastAsia" w:ascii="宋体" w:hAnsi="宋体" w:cs="宋体"/>
                <w:color w:val="000000"/>
                <w:sz w:val="20"/>
                <w:szCs w:val="20"/>
              </w:rPr>
              <w:t>2.10.6本项目澄清将通过“扬州北辰电气集团有限公司官网”进行。</w:t>
            </w:r>
          </w:p>
          <w:p w14:paraId="2F836B95">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2.10.7应答人或者其他利害关系人对招标文件有异议的，应当在应答</w:t>
            </w:r>
            <w:r>
              <w:rPr>
                <w:rFonts w:hint="eastAsia" w:ascii="宋体" w:hAnsi="宋体" w:cs="宋体"/>
                <w:b/>
                <w:bCs/>
                <w:color w:val="000000" w:themeColor="text1"/>
                <w:sz w:val="20"/>
                <w:szCs w:val="20"/>
                <w14:textFill>
                  <w14:solidFill>
                    <w14:schemeClr w14:val="tx1"/>
                  </w14:solidFill>
                </w14:textFill>
              </w:rPr>
              <w:t>截止时间1日前提出</w:t>
            </w:r>
            <w:r>
              <w:rPr>
                <w:rFonts w:hint="eastAsia" w:ascii="宋体" w:hAnsi="宋体" w:cs="宋体"/>
                <w:color w:val="000000"/>
                <w:sz w:val="20"/>
                <w:szCs w:val="20"/>
              </w:rPr>
              <w:t>（</w:t>
            </w:r>
            <w:r>
              <w:rPr>
                <w:rFonts w:hint="eastAsia" w:ascii="宋体" w:hAnsi="宋体" w:cs="宋体"/>
                <w:sz w:val="20"/>
                <w:szCs w:val="20"/>
              </w:rPr>
              <w:t>格式参见“第六章附件：</w:t>
            </w:r>
            <w:r>
              <w:rPr>
                <w:rFonts w:hint="eastAsia" w:ascii="宋体" w:hAnsi="宋体" w:cs="宋体"/>
                <w:color w:val="000000"/>
                <w:sz w:val="20"/>
                <w:szCs w:val="20"/>
              </w:rPr>
              <w:t>6.7澄清问题反馈格式</w:t>
            </w:r>
            <w:r>
              <w:rPr>
                <w:rFonts w:hint="eastAsia" w:ascii="宋体" w:hAnsi="宋体" w:cs="宋体"/>
                <w:sz w:val="20"/>
                <w:szCs w:val="20"/>
              </w:rPr>
              <w:t>”</w:t>
            </w:r>
            <w:r>
              <w:rPr>
                <w:rFonts w:hint="eastAsia" w:ascii="宋体" w:hAnsi="宋体" w:cs="宋体"/>
                <w:color w:val="000000"/>
                <w:sz w:val="20"/>
                <w:szCs w:val="20"/>
              </w:rPr>
              <w:t>）。</w:t>
            </w:r>
          </w:p>
          <w:p w14:paraId="067E6FE0">
            <w:pPr>
              <w:autoSpaceDE w:val="0"/>
              <w:autoSpaceDN w:val="0"/>
              <w:snapToGrid w:val="0"/>
              <w:spacing w:line="360" w:lineRule="auto"/>
              <w:jc w:val="left"/>
              <w:rPr>
                <w:rFonts w:ascii="宋体" w:hAnsi="宋体" w:cs="宋体"/>
                <w:color w:val="000000"/>
                <w:sz w:val="20"/>
                <w:szCs w:val="20"/>
              </w:rPr>
            </w:pPr>
            <w:r>
              <w:rPr>
                <w:rFonts w:hint="eastAsia" w:ascii="宋体" w:hAnsi="宋体" w:cs="宋体"/>
                <w:color w:val="000000"/>
                <w:sz w:val="20"/>
                <w:szCs w:val="20"/>
              </w:rPr>
              <w:t>2.10.8如澄清或者修改的内容可能影响应答文件编制的，应当在递交应答文件截止时间至少1日前发出，不足1日的，招标人应当相应顺延应答截止时间，澄清将通过“扬州北辰电气集团有限公司指定邮箱”发送给所有领取招标文件的应答人。</w:t>
            </w:r>
          </w:p>
          <w:p w14:paraId="2C5A9E7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2.10.9若针对被怀疑“低于成本价应答”需应答人澄清的问题，应答人不能合理进行说明或不能提供相关证明材料的，由评审委员会认定该应答人以低于成本报价竞争，对其应答作否决处理。</w:t>
            </w:r>
          </w:p>
        </w:tc>
      </w:tr>
      <w:tr w14:paraId="7BA7D7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1091" w:hRule="atLeast"/>
          <w:jc w:val="center"/>
        </w:trPr>
        <w:tc>
          <w:tcPr>
            <w:tcW w:w="926" w:type="dxa"/>
            <w:vAlign w:val="center"/>
          </w:tcPr>
          <w:p w14:paraId="33E7334F">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2.11</w:t>
            </w:r>
          </w:p>
        </w:tc>
        <w:tc>
          <w:tcPr>
            <w:tcW w:w="1635" w:type="dxa"/>
            <w:vAlign w:val="center"/>
          </w:tcPr>
          <w:p w14:paraId="67A4507E">
            <w:pPr>
              <w:pStyle w:val="20"/>
              <w:snapToGrid w:val="0"/>
              <w:spacing w:line="360" w:lineRule="auto"/>
              <w:ind w:left="0"/>
              <w:rPr>
                <w:rFonts w:ascii="宋体" w:hAnsi="宋体" w:eastAsia="宋体" w:cs="宋体"/>
                <w:color w:val="000000"/>
                <w:sz w:val="20"/>
              </w:rPr>
            </w:pPr>
            <w:r>
              <w:rPr>
                <w:rFonts w:hint="eastAsia" w:ascii="宋体" w:hAnsi="宋体" w:eastAsia="宋体" w:cs="宋体"/>
                <w:color w:val="000000"/>
                <w:sz w:val="20"/>
              </w:rPr>
              <w:t>应答文件的编写</w:t>
            </w:r>
          </w:p>
        </w:tc>
        <w:tc>
          <w:tcPr>
            <w:tcW w:w="5950" w:type="dxa"/>
            <w:vAlign w:val="center"/>
          </w:tcPr>
          <w:p w14:paraId="530948B5">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本条款增加：</w:t>
            </w:r>
          </w:p>
          <w:p w14:paraId="265C928E">
            <w:pPr>
              <w:autoSpaceDE w:val="0"/>
              <w:autoSpaceDN w:val="0"/>
              <w:snapToGrid w:val="0"/>
              <w:spacing w:line="360" w:lineRule="auto"/>
              <w:rPr>
                <w:rFonts w:ascii="宋体" w:hAnsi="宋体" w:cs="宋体"/>
                <w:sz w:val="20"/>
                <w:szCs w:val="20"/>
              </w:rPr>
            </w:pPr>
            <w:r>
              <w:rPr>
                <w:rFonts w:hint="eastAsia" w:ascii="宋体" w:hAnsi="宋体" w:cs="宋体"/>
                <w:color w:val="000000"/>
                <w:sz w:val="20"/>
                <w:szCs w:val="20"/>
              </w:rPr>
              <w:t>2.11.3</w:t>
            </w:r>
            <w:r>
              <w:rPr>
                <w:rFonts w:hint="eastAsia" w:ascii="宋体" w:hAnsi="宋体" w:cs="宋体"/>
                <w:color w:val="000000"/>
                <w:sz w:val="20"/>
                <w:szCs w:val="20"/>
              </w:rPr>
              <w:tab/>
            </w:r>
            <w:r>
              <w:rPr>
                <w:rFonts w:hint="eastAsia" w:ascii="宋体" w:hAnsi="宋体" w:cs="宋体"/>
                <w:sz w:val="20"/>
                <w:szCs w:val="20"/>
              </w:rPr>
              <w:t>应答人</w:t>
            </w:r>
            <w:r>
              <w:rPr>
                <w:rFonts w:hint="eastAsia" w:ascii="宋体" w:hAnsi="宋体" w:cs="宋体"/>
                <w:b/>
                <w:sz w:val="20"/>
                <w:szCs w:val="20"/>
              </w:rPr>
              <w:t>无须</w:t>
            </w:r>
            <w:r>
              <w:rPr>
                <w:rFonts w:hint="eastAsia" w:ascii="宋体" w:hAnsi="宋体" w:cs="宋体"/>
                <w:sz w:val="20"/>
                <w:szCs w:val="20"/>
              </w:rPr>
              <w:t>对招标文件中的</w:t>
            </w:r>
            <w:r>
              <w:rPr>
                <w:rFonts w:hint="eastAsia" w:ascii="宋体" w:hAnsi="宋体" w:cs="宋体"/>
                <w:b/>
                <w:sz w:val="20"/>
                <w:szCs w:val="20"/>
              </w:rPr>
              <w:t>第四章“技术规范书”</w:t>
            </w:r>
            <w:r>
              <w:rPr>
                <w:rFonts w:hint="eastAsia" w:ascii="宋体" w:hAnsi="宋体" w:cs="宋体"/>
                <w:sz w:val="20"/>
                <w:szCs w:val="20"/>
              </w:rPr>
              <w:t>中的相关内容进行点对点逐条应答，</w:t>
            </w:r>
            <w:r>
              <w:rPr>
                <w:rFonts w:hint="eastAsia" w:ascii="宋体" w:hAnsi="宋体" w:cs="宋体"/>
                <w:color w:val="000000"/>
                <w:sz w:val="20"/>
                <w:szCs w:val="20"/>
              </w:rPr>
              <w:t>如果对技术规范书中的相关内容有“部分满足</w:t>
            </w:r>
            <w:r>
              <w:rPr>
                <w:rFonts w:hint="eastAsia" w:ascii="宋体" w:hAnsi="宋体" w:cs="宋体"/>
                <w:sz w:val="20"/>
                <w:szCs w:val="20"/>
              </w:rPr>
              <w:t>”或“不满足”的情况，</w:t>
            </w:r>
            <w:r>
              <w:rPr>
                <w:rFonts w:hint="eastAsia" w:ascii="宋体" w:hAnsi="宋体" w:cs="宋体"/>
                <w:b/>
                <w:sz w:val="20"/>
                <w:szCs w:val="20"/>
              </w:rPr>
              <w:t>必须在《技术偏离表》（格式见第六章附件 应答文件格式）中逐一填写</w:t>
            </w:r>
            <w:r>
              <w:rPr>
                <w:rFonts w:hint="eastAsia" w:ascii="宋体" w:hAnsi="宋体" w:cs="宋体"/>
                <w:sz w:val="20"/>
                <w:szCs w:val="20"/>
              </w:rPr>
              <w:t>。</w:t>
            </w:r>
          </w:p>
          <w:p w14:paraId="2F94CE99">
            <w:pPr>
              <w:autoSpaceDE w:val="0"/>
              <w:autoSpaceDN w:val="0"/>
              <w:snapToGrid w:val="0"/>
              <w:spacing w:line="360" w:lineRule="auto"/>
              <w:rPr>
                <w:rFonts w:ascii="宋体" w:hAnsi="宋体" w:cs="宋体"/>
                <w:sz w:val="20"/>
                <w:szCs w:val="20"/>
              </w:rPr>
            </w:pPr>
            <w:r>
              <w:rPr>
                <w:rFonts w:hint="eastAsia" w:ascii="宋体" w:hAnsi="宋体" w:cs="宋体"/>
                <w:sz w:val="20"/>
                <w:szCs w:val="20"/>
              </w:rPr>
              <w:t>应答人</w:t>
            </w:r>
            <w:r>
              <w:rPr>
                <w:rFonts w:hint="eastAsia" w:ascii="宋体" w:hAnsi="宋体" w:cs="宋体"/>
                <w:b/>
                <w:sz w:val="20"/>
                <w:szCs w:val="20"/>
              </w:rPr>
              <w:t>无须</w:t>
            </w:r>
            <w:r>
              <w:rPr>
                <w:rFonts w:hint="eastAsia" w:ascii="宋体" w:hAnsi="宋体" w:cs="宋体"/>
                <w:sz w:val="20"/>
                <w:szCs w:val="20"/>
              </w:rPr>
              <w:t>对招标文件中的</w:t>
            </w:r>
            <w:r>
              <w:rPr>
                <w:rFonts w:hint="eastAsia" w:ascii="宋体" w:hAnsi="宋体" w:cs="宋体"/>
                <w:b/>
                <w:sz w:val="20"/>
                <w:szCs w:val="20"/>
              </w:rPr>
              <w:t>第三章“商务规范书”</w:t>
            </w:r>
            <w:r>
              <w:rPr>
                <w:rFonts w:hint="eastAsia" w:ascii="宋体" w:hAnsi="宋体" w:cs="宋体"/>
                <w:sz w:val="20"/>
                <w:szCs w:val="20"/>
              </w:rPr>
              <w:t>中的相关内容进行点对点逐条应答，如果对商务规范书中的相关内容有 “部分满足”或“不满足”的情况，</w:t>
            </w:r>
            <w:r>
              <w:rPr>
                <w:rFonts w:hint="eastAsia" w:ascii="宋体" w:hAnsi="宋体" w:cs="宋体"/>
                <w:b/>
                <w:sz w:val="20"/>
                <w:szCs w:val="20"/>
              </w:rPr>
              <w:t>必须在《商务偏离表》</w:t>
            </w:r>
            <w:r>
              <w:rPr>
                <w:rFonts w:hint="eastAsia" w:ascii="宋体" w:hAnsi="宋体" w:cs="宋体"/>
                <w:b/>
                <w:bCs/>
                <w:sz w:val="20"/>
                <w:szCs w:val="20"/>
              </w:rPr>
              <w:t>（格式见第六章附件 应答文件格式）</w:t>
            </w:r>
            <w:r>
              <w:rPr>
                <w:rFonts w:hint="eastAsia" w:ascii="宋体" w:hAnsi="宋体" w:cs="宋体"/>
                <w:b/>
                <w:sz w:val="20"/>
                <w:szCs w:val="20"/>
              </w:rPr>
              <w:t>中逐一填写</w:t>
            </w:r>
            <w:r>
              <w:rPr>
                <w:rFonts w:hint="eastAsia" w:ascii="宋体" w:hAnsi="宋体" w:cs="宋体"/>
                <w:sz w:val="20"/>
                <w:szCs w:val="20"/>
              </w:rPr>
              <w:t>。</w:t>
            </w:r>
          </w:p>
          <w:p w14:paraId="09CEBA64">
            <w:pPr>
              <w:autoSpaceDE w:val="0"/>
              <w:autoSpaceDN w:val="0"/>
              <w:snapToGrid w:val="0"/>
              <w:spacing w:line="360" w:lineRule="auto"/>
              <w:rPr>
                <w:rFonts w:ascii="宋体" w:hAnsi="宋体" w:cs="宋体"/>
                <w:sz w:val="20"/>
                <w:szCs w:val="20"/>
              </w:rPr>
            </w:pPr>
            <w:r>
              <w:rPr>
                <w:rFonts w:hint="eastAsia" w:ascii="宋体" w:hAnsi="宋体" w:cs="宋体"/>
                <w:color w:val="000000"/>
                <w:sz w:val="20"/>
                <w:szCs w:val="20"/>
              </w:rPr>
              <w:t>★2.11.4 如应答人提供的点对点应答文件（如有）与《技术/商务偏离表》中的应答内容不一致，以《技术/商务偏离表》中的内容为准。</w:t>
            </w:r>
          </w:p>
        </w:tc>
      </w:tr>
      <w:tr w14:paraId="608E1DE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26" w:type="dxa"/>
            <w:vAlign w:val="center"/>
          </w:tcPr>
          <w:p w14:paraId="3A94A49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2.12</w:t>
            </w:r>
          </w:p>
        </w:tc>
        <w:tc>
          <w:tcPr>
            <w:tcW w:w="1635" w:type="dxa"/>
            <w:vAlign w:val="center"/>
          </w:tcPr>
          <w:p w14:paraId="3ACADEC0">
            <w:pPr>
              <w:pStyle w:val="20"/>
              <w:snapToGrid w:val="0"/>
              <w:spacing w:line="360" w:lineRule="auto"/>
              <w:ind w:left="0"/>
              <w:rPr>
                <w:rFonts w:ascii="宋体" w:hAnsi="宋体" w:eastAsia="宋体" w:cs="宋体"/>
                <w:color w:val="000000"/>
                <w:sz w:val="20"/>
              </w:rPr>
            </w:pPr>
            <w:r>
              <w:rPr>
                <w:rFonts w:hint="eastAsia" w:ascii="宋体" w:hAnsi="宋体" w:eastAsia="宋体" w:cs="宋体"/>
                <w:color w:val="000000"/>
                <w:sz w:val="20"/>
              </w:rPr>
              <w:t>应答文件的组成</w:t>
            </w:r>
          </w:p>
        </w:tc>
        <w:tc>
          <w:tcPr>
            <w:tcW w:w="5950" w:type="dxa"/>
            <w:vAlign w:val="center"/>
          </w:tcPr>
          <w:p w14:paraId="77E415FF">
            <w:pPr>
              <w:adjustRightInd w:val="0"/>
              <w:snapToGrid w:val="0"/>
              <w:spacing w:line="360" w:lineRule="auto"/>
              <w:jc w:val="left"/>
            </w:pPr>
            <w:r>
              <w:rPr>
                <w:rFonts w:hint="eastAsia"/>
              </w:rPr>
              <w:t>2.12.1应答文件的构成</w:t>
            </w:r>
          </w:p>
          <w:p w14:paraId="67A5BCF4">
            <w:pPr>
              <w:numPr>
                <w:ilvl w:val="0"/>
                <w:numId w:val="5"/>
              </w:numPr>
              <w:adjustRightInd w:val="0"/>
              <w:snapToGrid w:val="0"/>
              <w:spacing w:line="360" w:lineRule="auto"/>
              <w:jc w:val="left"/>
            </w:pPr>
            <w:r>
              <w:rPr>
                <w:rFonts w:hint="eastAsia"/>
              </w:rPr>
              <w:t>电子应答文件</w:t>
            </w:r>
          </w:p>
          <w:p w14:paraId="6E4E168B">
            <w:pPr>
              <w:adjustRightInd w:val="0"/>
              <w:snapToGrid w:val="0"/>
              <w:spacing w:line="360" w:lineRule="auto"/>
              <w:ind w:firstLine="420" w:firstLineChars="200"/>
              <w:jc w:val="left"/>
            </w:pPr>
            <w:r>
              <w:rPr>
                <w:rFonts w:hint="eastAsia"/>
              </w:rPr>
              <w:t>应答文件应上传如下全部内容，缺少标★项按否决应答处理。</w:t>
            </w:r>
          </w:p>
          <w:p w14:paraId="7F912D1A">
            <w:pPr>
              <w:adjustRightInd w:val="0"/>
              <w:snapToGrid w:val="0"/>
              <w:spacing w:line="360" w:lineRule="auto"/>
              <w:jc w:val="left"/>
              <w:rPr>
                <w:b/>
                <w:bCs/>
              </w:rPr>
            </w:pPr>
            <w:r>
              <w:rPr>
                <w:rFonts w:hint="eastAsia"/>
                <w:b/>
                <w:bCs/>
              </w:rPr>
              <w:t>1.技术文件</w:t>
            </w:r>
          </w:p>
          <w:p w14:paraId="221E9F74">
            <w:pPr>
              <w:numPr>
                <w:ilvl w:val="0"/>
                <w:numId w:val="6"/>
              </w:numPr>
              <w:snapToGrid w:val="0"/>
              <w:spacing w:line="360" w:lineRule="auto"/>
            </w:pPr>
            <w:r>
              <w:rPr>
                <w:rFonts w:hint="eastAsia"/>
              </w:rPr>
              <w:t>技术评分表索引（格式参见第六章），以及对照《技术评分表》评审项，应答人需要提供的应答材料。</w:t>
            </w:r>
          </w:p>
          <w:p w14:paraId="6004F83B">
            <w:pPr>
              <w:numPr>
                <w:ilvl w:val="0"/>
                <w:numId w:val="6"/>
              </w:numPr>
              <w:snapToGrid w:val="0"/>
              <w:spacing w:line="360" w:lineRule="auto"/>
            </w:pPr>
            <w:r>
              <w:rPr>
                <w:rFonts w:hint="eastAsia"/>
              </w:rPr>
              <w:t>★技术偏离表（格式参见第六章，签字并加盖公章）</w:t>
            </w:r>
          </w:p>
          <w:p w14:paraId="6496BEF3">
            <w:pPr>
              <w:numPr>
                <w:ilvl w:val="0"/>
                <w:numId w:val="6"/>
              </w:numPr>
              <w:snapToGrid w:val="0"/>
              <w:spacing w:line="360" w:lineRule="auto"/>
            </w:pPr>
            <w:r>
              <w:rPr>
                <w:rFonts w:hint="eastAsia"/>
              </w:rPr>
              <w:t>技术建议书，在对《技术规范书》理解的基础上并结合技术评分表编写，应包含但不限于《技术规范书》中要求的内容。</w:t>
            </w:r>
          </w:p>
          <w:p w14:paraId="6EAEC31B">
            <w:pPr>
              <w:numPr>
                <w:ilvl w:val="0"/>
                <w:numId w:val="6"/>
              </w:numPr>
              <w:snapToGrid w:val="0"/>
              <w:spacing w:line="360" w:lineRule="auto"/>
            </w:pPr>
            <w:r>
              <w:rPr>
                <w:rFonts w:hint="eastAsia"/>
              </w:rPr>
              <w:t>招标文件第四章要求提供的其它技术应答文件。</w:t>
            </w:r>
          </w:p>
          <w:p w14:paraId="0E33F5B3">
            <w:pPr>
              <w:pStyle w:val="37"/>
              <w:widowControl w:val="0"/>
              <w:adjustRightInd w:val="0"/>
              <w:snapToGrid w:val="0"/>
              <w:spacing w:before="0" w:beforeAutospacing="0" w:after="0" w:afterAutospacing="0" w:line="360" w:lineRule="auto"/>
              <w:rPr>
                <w:b/>
                <w:bCs/>
                <w:sz w:val="21"/>
                <w:szCs w:val="21"/>
              </w:rPr>
            </w:pPr>
            <w:r>
              <w:rPr>
                <w:rFonts w:hint="eastAsia"/>
                <w:b/>
                <w:bCs/>
                <w:sz w:val="21"/>
                <w:szCs w:val="21"/>
              </w:rPr>
              <w:t>2.商务文件</w:t>
            </w:r>
          </w:p>
          <w:p w14:paraId="4CAD3ECB">
            <w:pPr>
              <w:numPr>
                <w:ilvl w:val="0"/>
                <w:numId w:val="6"/>
              </w:numPr>
              <w:adjustRightInd w:val="0"/>
              <w:snapToGrid w:val="0"/>
              <w:spacing w:line="360" w:lineRule="auto"/>
              <w:jc w:val="left"/>
            </w:pPr>
            <w:r>
              <w:rPr>
                <w:rFonts w:hint="eastAsia"/>
              </w:rPr>
              <w:t>★应答函（格式参见第六章，签字并加盖公章）。</w:t>
            </w:r>
          </w:p>
          <w:p w14:paraId="43473F81">
            <w:pPr>
              <w:numPr>
                <w:ilvl w:val="0"/>
                <w:numId w:val="6"/>
              </w:numPr>
              <w:adjustRightInd w:val="0"/>
              <w:snapToGrid w:val="0"/>
              <w:spacing w:line="360" w:lineRule="auto"/>
              <w:jc w:val="left"/>
            </w:pPr>
            <w:r>
              <w:rPr>
                <w:rFonts w:hint="eastAsia"/>
              </w:rPr>
              <w:t>★</w:t>
            </w:r>
            <w:r>
              <w:rPr>
                <w:rFonts w:hint="eastAsia" w:asciiTheme="minorEastAsia" w:hAnsiTheme="minorEastAsia" w:eastAsiaTheme="minorEastAsia"/>
                <w:color w:val="000000"/>
                <w:szCs w:val="21"/>
              </w:rPr>
              <w:t>法定代表人</w:t>
            </w:r>
            <w:r>
              <w:rPr>
                <w:rFonts w:hint="eastAsia"/>
              </w:rPr>
              <w:t>身份证明（格式参见第六章，加盖公章）。</w:t>
            </w:r>
          </w:p>
          <w:p w14:paraId="781B1A9C">
            <w:pPr>
              <w:numPr>
                <w:ilvl w:val="0"/>
                <w:numId w:val="6"/>
              </w:numPr>
              <w:adjustRightInd w:val="0"/>
              <w:snapToGrid w:val="0"/>
              <w:spacing w:line="360" w:lineRule="auto"/>
              <w:jc w:val="left"/>
            </w:pPr>
            <w:r>
              <w:rPr>
                <w:rFonts w:hint="eastAsia"/>
              </w:rPr>
              <w:t>★</w:t>
            </w:r>
            <w:r>
              <w:rPr>
                <w:rFonts w:hint="eastAsia" w:asciiTheme="minorEastAsia" w:hAnsiTheme="minorEastAsia" w:eastAsiaTheme="minorEastAsia"/>
                <w:color w:val="000000"/>
                <w:szCs w:val="21"/>
              </w:rPr>
              <w:t>法定代表人</w:t>
            </w:r>
            <w:r>
              <w:rPr>
                <w:rFonts w:hint="eastAsia"/>
              </w:rPr>
              <w:t>授权书（格式参见第六章，</w:t>
            </w:r>
            <w:r>
              <w:rPr>
                <w:rFonts w:hint="eastAsia"/>
                <w:color w:val="FF0000"/>
              </w:rPr>
              <w:t>如</w:t>
            </w:r>
            <w:r>
              <w:rPr>
                <w:rFonts w:hint="eastAsia" w:asciiTheme="minorEastAsia" w:hAnsiTheme="minorEastAsia" w:eastAsiaTheme="minorEastAsia"/>
                <w:color w:val="000000"/>
                <w:szCs w:val="21"/>
              </w:rPr>
              <w:t>法定代表人</w:t>
            </w:r>
            <w:r>
              <w:rPr>
                <w:rFonts w:hint="eastAsia"/>
                <w:color w:val="FF0000"/>
              </w:rPr>
              <w:t>本人应答，提供</w:t>
            </w:r>
            <w:r>
              <w:rPr>
                <w:rFonts w:hint="eastAsia" w:asciiTheme="minorEastAsia" w:hAnsiTheme="minorEastAsia" w:eastAsiaTheme="minorEastAsia"/>
                <w:color w:val="000000"/>
                <w:szCs w:val="21"/>
              </w:rPr>
              <w:t>法定代表人</w:t>
            </w:r>
            <w:r>
              <w:rPr>
                <w:rFonts w:hint="eastAsia"/>
                <w:color w:val="FF0000"/>
              </w:rPr>
              <w:t>身份证明即可，可不提供</w:t>
            </w:r>
            <w:r>
              <w:rPr>
                <w:rFonts w:hint="eastAsia" w:asciiTheme="minorEastAsia" w:hAnsiTheme="minorEastAsia" w:eastAsiaTheme="minorEastAsia"/>
                <w:color w:val="000000"/>
                <w:szCs w:val="21"/>
              </w:rPr>
              <w:t>法定代表人</w:t>
            </w:r>
            <w:r>
              <w:rPr>
                <w:rFonts w:hint="eastAsia"/>
                <w:color w:val="FF0000"/>
              </w:rPr>
              <w:t>授权书；如非</w:t>
            </w:r>
            <w:r>
              <w:rPr>
                <w:rFonts w:hint="eastAsia" w:asciiTheme="minorEastAsia" w:hAnsiTheme="minorEastAsia" w:eastAsiaTheme="minorEastAsia"/>
                <w:color w:val="000000"/>
                <w:szCs w:val="21"/>
              </w:rPr>
              <w:t>法定代表人</w:t>
            </w:r>
            <w:r>
              <w:rPr>
                <w:rFonts w:hint="eastAsia"/>
                <w:color w:val="FF0000"/>
              </w:rPr>
              <w:t>应答时必须提供</w:t>
            </w:r>
            <w:r>
              <w:rPr>
                <w:rFonts w:hint="eastAsia" w:asciiTheme="minorEastAsia" w:hAnsiTheme="minorEastAsia" w:eastAsiaTheme="minorEastAsia"/>
                <w:color w:val="000000"/>
                <w:szCs w:val="21"/>
              </w:rPr>
              <w:t>法定代表人</w:t>
            </w:r>
            <w:r>
              <w:rPr>
                <w:rFonts w:hint="eastAsia"/>
                <w:color w:val="FF0000"/>
              </w:rPr>
              <w:t>授权委托书，签字并加盖公章</w:t>
            </w:r>
            <w:r>
              <w:rPr>
                <w:rFonts w:hint="eastAsia"/>
              </w:rPr>
              <w:t>）。</w:t>
            </w:r>
          </w:p>
          <w:p w14:paraId="4F400D19">
            <w:pPr>
              <w:numPr>
                <w:ilvl w:val="0"/>
                <w:numId w:val="6"/>
              </w:numPr>
              <w:adjustRightInd w:val="0"/>
              <w:snapToGrid w:val="0"/>
              <w:spacing w:line="360" w:lineRule="auto"/>
              <w:jc w:val="left"/>
            </w:pPr>
            <w:r>
              <w:rPr>
                <w:rFonts w:hint="eastAsia"/>
              </w:rPr>
              <w:t>★应答人的营业执照副本或其他组织处于存续或在业等正常状态的营业执照副本或事业单位法人证书副本或其他组织经营证明扫描件，以证明应答人在中华人民共和国境内依法注册。（如是分支机构应答，还须提供其法人或非法人组织所出具加盖公章的授权证明）。（加盖公章）</w:t>
            </w:r>
          </w:p>
          <w:p w14:paraId="7536866D">
            <w:pPr>
              <w:numPr>
                <w:ilvl w:val="0"/>
                <w:numId w:val="6"/>
              </w:numPr>
              <w:adjustRightInd w:val="0"/>
              <w:snapToGrid w:val="0"/>
              <w:spacing w:line="360" w:lineRule="auto"/>
              <w:jc w:val="left"/>
            </w:pPr>
            <w:r>
              <w:rPr>
                <w:rFonts w:hint="eastAsia"/>
              </w:rPr>
              <w:t>应答人的基本账户开户许可证扫描件（或基本存款账户信息证明）</w:t>
            </w:r>
          </w:p>
          <w:p w14:paraId="78069F2A">
            <w:pPr>
              <w:numPr>
                <w:ilvl w:val="0"/>
                <w:numId w:val="6"/>
              </w:numPr>
              <w:adjustRightInd w:val="0"/>
              <w:snapToGrid w:val="0"/>
              <w:spacing w:line="360" w:lineRule="auto"/>
              <w:jc w:val="left"/>
            </w:pPr>
            <w:r>
              <w:rPr>
                <w:rFonts w:hint="eastAsia"/>
              </w:rPr>
              <w:t>★应答人不存在下列情形的承诺书：被责令停业或破产状态的；被暂停或取消应答资格的；财产被接管、冻结，破产状态的；在最近三年内有严重违约的；在最近三年内有被相关行政监督部门判定并发布骗取中标的；应答产品使用过程中出现过重大质量问题,至今尚未妥善解决的。格式参见第六章《应答人经营状况承诺书》（加盖公章）</w:t>
            </w:r>
          </w:p>
          <w:p w14:paraId="4B104075">
            <w:pPr>
              <w:numPr>
                <w:ilvl w:val="0"/>
                <w:numId w:val="6"/>
              </w:numPr>
              <w:adjustRightInd w:val="0"/>
              <w:snapToGrid w:val="0"/>
              <w:spacing w:line="360" w:lineRule="auto"/>
              <w:jc w:val="left"/>
            </w:pPr>
            <w:r>
              <w:rPr>
                <w:rFonts w:hint="eastAsia"/>
              </w:rPr>
              <w:t>单位法定代表人/负责人为同一人或者存在控股、管理关系的不同单位，不得参加同一标段应答或者未划分标段的同一项目应答。格式参见第六章《应答人控股及管理关系情况申报表》</w:t>
            </w:r>
          </w:p>
          <w:p w14:paraId="57368BBB">
            <w:pPr>
              <w:numPr>
                <w:ilvl w:val="0"/>
                <w:numId w:val="6"/>
              </w:numPr>
              <w:adjustRightInd w:val="0"/>
              <w:snapToGrid w:val="0"/>
              <w:spacing w:line="360" w:lineRule="auto"/>
              <w:jc w:val="left"/>
            </w:pPr>
            <w:r>
              <w:rPr>
                <w:rFonts w:hint="eastAsia"/>
              </w:rPr>
              <w:t>★本次招标不接受联合体应答（格式参见第六章《应答人经营状况承诺书》。（加盖公章）</w:t>
            </w:r>
          </w:p>
          <w:p w14:paraId="5911530D">
            <w:pPr>
              <w:numPr>
                <w:ilvl w:val="0"/>
                <w:numId w:val="6"/>
              </w:numPr>
              <w:adjustRightInd w:val="0"/>
              <w:snapToGrid w:val="0"/>
              <w:spacing w:line="360" w:lineRule="auto"/>
              <w:jc w:val="left"/>
            </w:pPr>
            <w:r>
              <w:rPr>
                <w:rFonts w:hint="eastAsia"/>
              </w:rPr>
              <w:t>★商务偏离表（格式参见第六章，签字并加盖公章）</w:t>
            </w:r>
          </w:p>
          <w:p w14:paraId="2A0FB3A5">
            <w:pPr>
              <w:numPr>
                <w:ilvl w:val="0"/>
                <w:numId w:val="6"/>
              </w:numPr>
              <w:adjustRightInd w:val="0"/>
              <w:snapToGrid w:val="0"/>
              <w:spacing w:line="360" w:lineRule="auto"/>
              <w:jc w:val="left"/>
            </w:pPr>
            <w:r>
              <w:rPr>
                <w:rFonts w:hint="eastAsia"/>
              </w:rPr>
              <w:t>★应答保证金保函（格式参见第六章，加盖公章）（</w:t>
            </w:r>
            <w:r>
              <w:rPr>
                <w:rFonts w:hint="eastAsia"/>
                <w:color w:val="FF0000"/>
              </w:rPr>
              <w:t>如有</w:t>
            </w:r>
            <w:r>
              <w:rPr>
                <w:rFonts w:hint="eastAsia"/>
              </w:rPr>
              <w:t>）</w:t>
            </w:r>
          </w:p>
          <w:p w14:paraId="55A28744">
            <w:pPr>
              <w:numPr>
                <w:ilvl w:val="0"/>
                <w:numId w:val="6"/>
              </w:numPr>
              <w:adjustRightInd w:val="0"/>
              <w:snapToGrid w:val="0"/>
              <w:spacing w:line="360" w:lineRule="auto"/>
              <w:jc w:val="left"/>
            </w:pPr>
            <w:r>
              <w:rPr>
                <w:rFonts w:hint="eastAsia"/>
              </w:rPr>
              <w:t>供应商基本信息（格式参见第六章）</w:t>
            </w:r>
          </w:p>
          <w:p w14:paraId="5F2FE8CA">
            <w:pPr>
              <w:numPr>
                <w:ilvl w:val="0"/>
                <w:numId w:val="6"/>
              </w:numPr>
              <w:adjustRightInd w:val="0"/>
              <w:snapToGrid w:val="0"/>
              <w:spacing w:line="360" w:lineRule="auto"/>
              <w:jc w:val="left"/>
            </w:pPr>
            <w:r>
              <w:rPr>
                <w:rFonts w:hint="eastAsia"/>
              </w:rPr>
              <w:t>招标服务费支付承诺函（格式参见第六章）</w:t>
            </w:r>
          </w:p>
          <w:p w14:paraId="2E7FE83B">
            <w:pPr>
              <w:numPr>
                <w:ilvl w:val="0"/>
                <w:numId w:val="6"/>
              </w:numPr>
              <w:adjustRightInd w:val="0"/>
              <w:snapToGrid w:val="0"/>
              <w:spacing w:line="360" w:lineRule="auto"/>
              <w:jc w:val="left"/>
            </w:pPr>
            <w:r>
              <w:t>工商注册电话、工商注册邮箱及相应的</w:t>
            </w:r>
            <w:r>
              <w:rPr>
                <w:rFonts w:hint="eastAsia"/>
              </w:rPr>
              <w:t>国家企业信用信息公示系统</w:t>
            </w:r>
            <w:r>
              <w:t>的查询截图</w:t>
            </w:r>
            <w:r>
              <w:rPr>
                <w:color w:val="92D050"/>
              </w:rPr>
              <w:t>，</w:t>
            </w:r>
            <w:r>
              <w:rPr>
                <w:color w:val="FF0000"/>
              </w:rPr>
              <w:t>如出现不同应答人的工商注册电话、邮箱一致的情况，评审委员会有权要求应答人提供证据证明工商注册电话、工商注册邮箱确为应答人所有，如无法证明将否决应答。</w:t>
            </w:r>
            <w:r>
              <w:t>（格式详见第六章应答文件格式《工商注册信息》）。</w:t>
            </w:r>
          </w:p>
          <w:p w14:paraId="1949F705">
            <w:pPr>
              <w:numPr>
                <w:ilvl w:val="0"/>
                <w:numId w:val="6"/>
              </w:numPr>
              <w:adjustRightInd w:val="0"/>
              <w:snapToGrid w:val="0"/>
              <w:spacing w:line="360" w:lineRule="auto"/>
              <w:jc w:val="left"/>
              <w:rPr>
                <w:rFonts w:ascii="宋体" w:hAnsi="宋体" w:cs="宋体"/>
                <w:b/>
                <w:sz w:val="20"/>
                <w:szCs w:val="20"/>
              </w:rPr>
            </w:pPr>
            <w:r>
              <w:rPr>
                <w:rFonts w:hint="eastAsia"/>
              </w:rPr>
              <w:t>招标文件第五章、第六章要求提供的其他文件。</w:t>
            </w:r>
          </w:p>
          <w:p w14:paraId="0270D3A5">
            <w:pPr>
              <w:adjustRightInd w:val="0"/>
              <w:snapToGrid w:val="0"/>
              <w:spacing w:line="360" w:lineRule="auto"/>
              <w:jc w:val="left"/>
              <w:rPr>
                <w:b/>
                <w:bCs/>
              </w:rPr>
            </w:pPr>
            <w:r>
              <w:rPr>
                <w:rFonts w:hint="eastAsia"/>
                <w:b/>
                <w:bCs/>
              </w:rPr>
              <w:t>3.报价文件</w:t>
            </w:r>
          </w:p>
          <w:p w14:paraId="3C732978">
            <w:pPr>
              <w:adjustRightInd w:val="0"/>
              <w:snapToGrid w:val="0"/>
              <w:spacing w:line="360" w:lineRule="auto"/>
              <w:jc w:val="left"/>
              <w:rPr>
                <w:rFonts w:ascii="宋体" w:hAnsi="宋体" w:cs="宋体"/>
                <w:b/>
                <w:sz w:val="20"/>
                <w:szCs w:val="20"/>
              </w:rPr>
            </w:pPr>
            <w:r>
              <w:rPr>
                <w:rFonts w:hint="eastAsia"/>
              </w:rPr>
              <w:t>★应答报价文件 (格式参见第六章《应答报价文件》，其中应答报价一览表需签字并加盖公章，应答报价清单需逐页加盖公章)。</w:t>
            </w:r>
          </w:p>
        </w:tc>
      </w:tr>
      <w:tr w14:paraId="4A2FF3E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30" w:hRule="atLeast"/>
          <w:jc w:val="center"/>
        </w:trPr>
        <w:tc>
          <w:tcPr>
            <w:tcW w:w="926" w:type="dxa"/>
            <w:vAlign w:val="center"/>
          </w:tcPr>
          <w:p w14:paraId="5E7FE08E">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2.13</w:t>
            </w:r>
          </w:p>
        </w:tc>
        <w:tc>
          <w:tcPr>
            <w:tcW w:w="1635" w:type="dxa"/>
            <w:vAlign w:val="center"/>
          </w:tcPr>
          <w:p w14:paraId="2D335CD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关于优惠</w:t>
            </w:r>
          </w:p>
        </w:tc>
        <w:tc>
          <w:tcPr>
            <w:tcW w:w="5950" w:type="dxa"/>
            <w:vAlign w:val="center"/>
          </w:tcPr>
          <w:p w14:paraId="44FE612D">
            <w:pPr>
              <w:autoSpaceDE w:val="0"/>
              <w:autoSpaceDN w:val="0"/>
              <w:snapToGrid w:val="0"/>
              <w:spacing w:line="360" w:lineRule="auto"/>
              <w:rPr>
                <w:rFonts w:ascii="宋体" w:hAnsi="宋体" w:cs="宋体"/>
                <w:color w:val="000000"/>
                <w:sz w:val="20"/>
                <w:szCs w:val="20"/>
              </w:rPr>
            </w:pPr>
            <w:r>
              <w:rPr>
                <w:rFonts w:hint="eastAsia"/>
                <w:color w:val="000000" w:themeColor="text1"/>
                <w:sz w:val="20"/>
                <w:szCs w:val="21"/>
                <w14:textFill>
                  <w14:solidFill>
                    <w14:schemeClr w14:val="tx1"/>
                  </w14:solidFill>
                </w14:textFill>
              </w:rPr>
              <w:t>不接受报优惠价</w:t>
            </w:r>
          </w:p>
        </w:tc>
      </w:tr>
      <w:tr w14:paraId="28BB3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26" w:type="dxa"/>
            <w:vAlign w:val="center"/>
          </w:tcPr>
          <w:p w14:paraId="6649D535">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2.14</w:t>
            </w:r>
          </w:p>
        </w:tc>
        <w:tc>
          <w:tcPr>
            <w:tcW w:w="1635" w:type="dxa"/>
            <w:vAlign w:val="center"/>
          </w:tcPr>
          <w:p w14:paraId="6CA3C6B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应答报价</w:t>
            </w:r>
          </w:p>
        </w:tc>
        <w:tc>
          <w:tcPr>
            <w:tcW w:w="5950" w:type="dxa"/>
            <w:vAlign w:val="center"/>
          </w:tcPr>
          <w:p w14:paraId="3C4E20E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本条款增加：</w:t>
            </w:r>
          </w:p>
          <w:p w14:paraId="55D58E7C">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2.14.3应答报价为完成本项目的所有费用。</w:t>
            </w:r>
          </w:p>
          <w:p w14:paraId="14C3EF77">
            <w:pPr>
              <w:autoSpaceDE w:val="0"/>
              <w:autoSpaceDN w:val="0"/>
              <w:snapToGrid w:val="0"/>
              <w:spacing w:line="360" w:lineRule="auto"/>
              <w:rPr>
                <w:rFonts w:ascii="宋体" w:hAnsi="宋体" w:cs="宋体"/>
                <w:i/>
                <w:color w:val="000000" w:themeColor="text1"/>
                <w:sz w:val="20"/>
                <w:szCs w:val="20"/>
                <w14:textFill>
                  <w14:solidFill>
                    <w14:schemeClr w14:val="tx1"/>
                  </w14:solidFill>
                </w14:textFill>
              </w:rPr>
            </w:pPr>
            <w:r>
              <w:rPr>
                <w:rFonts w:hint="eastAsia" w:ascii="宋体" w:hAnsi="宋体" w:cs="宋体"/>
                <w:color w:val="000000"/>
                <w:sz w:val="20"/>
                <w:szCs w:val="20"/>
              </w:rPr>
              <w:t>2.14.4各项应答价格均以人民币报价。</w:t>
            </w:r>
            <w:r>
              <w:rPr>
                <w:rFonts w:hint="eastAsia" w:ascii="宋体" w:hAnsi="宋体" w:cs="宋体"/>
                <w:i/>
                <w:color w:val="000000" w:themeColor="text1"/>
                <w:sz w:val="20"/>
                <w:szCs w:val="20"/>
                <w14:textFill>
                  <w14:solidFill>
                    <w14:schemeClr w14:val="tx1"/>
                  </w14:solidFill>
                </w14:textFill>
              </w:rPr>
              <w:t xml:space="preserve"> </w:t>
            </w:r>
          </w:p>
          <w:p w14:paraId="3A1042DA">
            <w:pPr>
              <w:adjustRightInd w:val="0"/>
              <w:snapToGrid w:val="0"/>
              <w:spacing w:line="360" w:lineRule="auto"/>
              <w:textAlignment w:val="baseline"/>
              <w:rPr>
                <w:rFonts w:ascii="宋体" w:hAnsi="宋体" w:cs="宋体"/>
                <w:sz w:val="20"/>
                <w:szCs w:val="20"/>
              </w:rPr>
            </w:pPr>
            <w:r>
              <w:rPr>
                <w:rFonts w:hint="eastAsia" w:ascii="宋体" w:hAnsi="宋体" w:cs="宋体"/>
                <w:color w:val="000000"/>
                <w:sz w:val="20"/>
                <w:szCs w:val="20"/>
              </w:rPr>
              <w:t>2.14.5</w:t>
            </w:r>
            <w:r>
              <w:rPr>
                <w:rFonts w:hint="eastAsia" w:ascii="宋体" w:hAnsi="宋体" w:cs="宋体"/>
                <w:sz w:val="20"/>
                <w:szCs w:val="20"/>
              </w:rPr>
              <w:t>报价表应严格按照附件所附格式（附件6.6应答报价一览表）进行填写。应答人不得对本报价格式进行结构性更改。</w:t>
            </w:r>
          </w:p>
          <w:p w14:paraId="781916F9">
            <w:pPr>
              <w:autoSpaceDE w:val="0"/>
              <w:autoSpaceDN w:val="0"/>
              <w:snapToGrid w:val="0"/>
              <w:spacing w:line="360" w:lineRule="auto"/>
              <w:rPr>
                <w:rFonts w:ascii="宋体" w:hAnsi="宋体" w:cs="宋体"/>
                <w:sz w:val="20"/>
                <w:szCs w:val="20"/>
              </w:rPr>
            </w:pPr>
            <w:r>
              <w:rPr>
                <w:rFonts w:hint="eastAsia" w:ascii="宋体" w:hAnsi="宋体" w:cs="宋体"/>
                <w:sz w:val="20"/>
                <w:szCs w:val="20"/>
              </w:rPr>
              <w:t>2.14.6应答报价不一致的处理原则：</w:t>
            </w:r>
          </w:p>
          <w:p w14:paraId="4E3411A8">
            <w:pPr>
              <w:numPr>
                <w:ilvl w:val="0"/>
                <w:numId w:val="7"/>
              </w:numPr>
              <w:ind w:left="0" w:firstLine="400" w:firstLineChars="200"/>
              <w:rPr>
                <w:color w:val="000000" w:themeColor="text1"/>
                <w:sz w:val="20"/>
                <w:szCs w:val="21"/>
                <w14:textFill>
                  <w14:solidFill>
                    <w14:schemeClr w14:val="tx1"/>
                  </w14:solidFill>
                </w14:textFill>
              </w:rPr>
            </w:pPr>
            <w:r>
              <w:rPr>
                <w:rFonts w:hint="eastAsia"/>
                <w:color w:val="000000" w:themeColor="text1"/>
                <w:sz w:val="20"/>
                <w:szCs w:val="21"/>
                <w14:textFill>
                  <w14:solidFill>
                    <w14:schemeClr w14:val="tx1"/>
                  </w14:solidFill>
                </w14:textFill>
              </w:rPr>
              <w:t>以规定时间发送至扬州北辰电气集团有限公司指定邮箱的报价为准。</w:t>
            </w:r>
          </w:p>
          <w:p w14:paraId="6055A4E0">
            <w:pPr>
              <w:numPr>
                <w:ilvl w:val="0"/>
                <w:numId w:val="7"/>
              </w:numPr>
              <w:ind w:left="0" w:firstLine="400" w:firstLineChars="200"/>
              <w:rPr>
                <w:color w:val="000000" w:themeColor="text1"/>
                <w:sz w:val="20"/>
                <w:szCs w:val="21"/>
                <w14:textFill>
                  <w14:solidFill>
                    <w14:schemeClr w14:val="tx1"/>
                  </w14:solidFill>
                </w14:textFill>
              </w:rPr>
            </w:pPr>
            <w:r>
              <w:rPr>
                <w:rFonts w:hint="eastAsia"/>
                <w:color w:val="000000" w:themeColor="text1"/>
                <w:sz w:val="20"/>
                <w:szCs w:val="21"/>
                <w14:textFill>
                  <w14:solidFill>
                    <w14:schemeClr w14:val="tx1"/>
                  </w14:solidFill>
                </w14:textFill>
              </w:rPr>
              <w:t>应答文件中对同一报价的不含税价和含税价存在计算错误的，以不含税价格修改含税价；但不含税价金额小数点有明显错位的，以含税总价为准，并修改不含税价。</w:t>
            </w:r>
          </w:p>
          <w:p w14:paraId="1A4AB43C">
            <w:pPr>
              <w:numPr>
                <w:ilvl w:val="0"/>
                <w:numId w:val="7"/>
              </w:numPr>
              <w:ind w:left="0" w:firstLine="400" w:firstLineChars="200"/>
              <w:rPr>
                <w:color w:val="000000" w:themeColor="text1"/>
                <w:sz w:val="20"/>
                <w:szCs w:val="21"/>
                <w14:textFill>
                  <w14:solidFill>
                    <w14:schemeClr w14:val="tx1"/>
                  </w14:solidFill>
                </w14:textFill>
              </w:rPr>
            </w:pPr>
            <w:r>
              <w:rPr>
                <w:rFonts w:hint="eastAsia"/>
                <w:color w:val="000000" w:themeColor="text1"/>
                <w:sz w:val="20"/>
                <w:szCs w:val="21"/>
                <w14:textFill>
                  <w14:solidFill>
                    <w14:schemeClr w14:val="tx1"/>
                  </w14:solidFill>
                </w14:textFill>
              </w:rPr>
              <w:t>大写金额和小写金额不一致的，以大写金额为准；</w:t>
            </w:r>
          </w:p>
          <w:p w14:paraId="20F8C55A">
            <w:pPr>
              <w:autoSpaceDE w:val="0"/>
              <w:autoSpaceDN w:val="0"/>
              <w:snapToGrid w:val="0"/>
              <w:spacing w:line="360" w:lineRule="auto"/>
              <w:rPr>
                <w:rFonts w:ascii="宋体" w:hAnsi="宋体" w:cs="宋体"/>
                <w:color w:val="000000"/>
                <w:sz w:val="20"/>
                <w:szCs w:val="20"/>
              </w:rPr>
            </w:pPr>
            <w:r>
              <w:rPr>
                <w:rFonts w:hint="eastAsia" w:ascii="宋体" w:hAnsi="宋体" w:cs="宋体"/>
                <w:b/>
                <w:bCs/>
                <w:color w:val="FF0000"/>
                <w:sz w:val="20"/>
                <w:szCs w:val="20"/>
              </w:rPr>
              <w:t>如果应答人不接受对其错误的更正，其应答无效。</w:t>
            </w:r>
          </w:p>
        </w:tc>
      </w:tr>
      <w:tr w14:paraId="4B23A6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62589A56">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2.14.1</w:t>
            </w:r>
          </w:p>
        </w:tc>
        <w:tc>
          <w:tcPr>
            <w:tcW w:w="1635" w:type="dxa"/>
            <w:vAlign w:val="center"/>
          </w:tcPr>
          <w:p w14:paraId="31337BA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最高限价或者其计算方法</w:t>
            </w:r>
          </w:p>
        </w:tc>
        <w:tc>
          <w:tcPr>
            <w:tcW w:w="5950" w:type="dxa"/>
            <w:vAlign w:val="center"/>
          </w:tcPr>
          <w:p w14:paraId="5FB1B9DC">
            <w:pPr>
              <w:autoSpaceDE w:val="0"/>
              <w:autoSpaceDN w:val="0"/>
              <w:adjustRightInd w:val="0"/>
              <w:snapToGrid w:val="0"/>
              <w:spacing w:line="360" w:lineRule="auto"/>
              <w:ind w:left="105" w:leftChars="50" w:right="105" w:rightChars="50"/>
            </w:pPr>
            <w:r>
              <w:rPr>
                <w:rFonts w:hint="eastAsia"/>
              </w:rPr>
              <w:t>设置最高限价，最高不含税总价限价详见下表：</w:t>
            </w:r>
          </w:p>
          <w:tbl>
            <w:tblPr>
              <w:tblStyle w:val="40"/>
              <w:tblW w:w="5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23"/>
              <w:gridCol w:w="3514"/>
            </w:tblGrid>
            <w:tr w14:paraId="39419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1523" w:type="dxa"/>
                  <w:shd w:val="clear" w:color="auto" w:fill="auto"/>
                  <w:tcMar>
                    <w:top w:w="12" w:type="dxa"/>
                    <w:left w:w="12" w:type="dxa"/>
                    <w:bottom w:w="0" w:type="dxa"/>
                    <w:right w:w="12" w:type="dxa"/>
                  </w:tcMar>
                  <w:vAlign w:val="center"/>
                </w:tcPr>
                <w:p w14:paraId="53385512">
                  <w:pPr>
                    <w:autoSpaceDE w:val="0"/>
                    <w:autoSpaceDN w:val="0"/>
                    <w:adjustRightInd w:val="0"/>
                    <w:snapToGrid w:val="0"/>
                    <w:ind w:left="105" w:leftChars="50" w:right="105" w:rightChars="50"/>
                    <w:jc w:val="center"/>
                    <w:rPr>
                      <w:b/>
                      <w:bCs/>
                    </w:rPr>
                  </w:pPr>
                  <w:r>
                    <w:rPr>
                      <w:rFonts w:hint="eastAsia"/>
                      <w:b/>
                      <w:bCs/>
                    </w:rPr>
                    <w:t>招标内容</w:t>
                  </w:r>
                </w:p>
              </w:tc>
              <w:tc>
                <w:tcPr>
                  <w:tcW w:w="3514" w:type="dxa"/>
                  <w:shd w:val="clear" w:color="auto" w:fill="auto"/>
                  <w:tcMar>
                    <w:top w:w="72" w:type="dxa"/>
                    <w:left w:w="144" w:type="dxa"/>
                    <w:bottom w:w="72" w:type="dxa"/>
                    <w:right w:w="144" w:type="dxa"/>
                  </w:tcMar>
                  <w:vAlign w:val="center"/>
                </w:tcPr>
                <w:p w14:paraId="71BAB2A7">
                  <w:pPr>
                    <w:autoSpaceDE w:val="0"/>
                    <w:autoSpaceDN w:val="0"/>
                    <w:adjustRightInd w:val="0"/>
                    <w:snapToGrid w:val="0"/>
                    <w:ind w:left="105" w:leftChars="50" w:right="105" w:rightChars="50"/>
                    <w:jc w:val="center"/>
                    <w:rPr>
                      <w:b/>
                      <w:bCs/>
                    </w:rPr>
                  </w:pPr>
                  <w:r>
                    <w:rPr>
                      <w:rFonts w:hint="eastAsia"/>
                      <w:b/>
                      <w:bCs/>
                    </w:rPr>
                    <w:t>最高不含税总价限价（万元）</w:t>
                  </w:r>
                </w:p>
              </w:tc>
            </w:tr>
            <w:tr w14:paraId="1223D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1" w:hRule="atLeast"/>
                <w:jc w:val="center"/>
              </w:trPr>
              <w:tc>
                <w:tcPr>
                  <w:tcW w:w="1523" w:type="dxa"/>
                  <w:shd w:val="clear" w:color="auto" w:fill="auto"/>
                  <w:tcMar>
                    <w:top w:w="12" w:type="dxa"/>
                    <w:left w:w="12" w:type="dxa"/>
                    <w:bottom w:w="0" w:type="dxa"/>
                    <w:right w:w="12" w:type="dxa"/>
                  </w:tcMar>
                  <w:vAlign w:val="center"/>
                </w:tcPr>
                <w:p w14:paraId="032559BA">
                  <w:pPr>
                    <w:autoSpaceDE w:val="0"/>
                    <w:autoSpaceDN w:val="0"/>
                    <w:adjustRightInd w:val="0"/>
                    <w:snapToGrid w:val="0"/>
                    <w:ind w:left="105" w:leftChars="50" w:right="105" w:rightChars="50"/>
                    <w:jc w:val="center"/>
                    <w:rPr>
                      <w:b/>
                      <w:bCs/>
                    </w:rPr>
                  </w:pPr>
                  <w:r>
                    <w:rPr>
                      <w:rFonts w:hint="eastAsia"/>
                      <w:b/>
                      <w:bCs/>
                    </w:rPr>
                    <w:t>设备类</w:t>
                  </w:r>
                </w:p>
              </w:tc>
              <w:tc>
                <w:tcPr>
                  <w:tcW w:w="3514" w:type="dxa"/>
                  <w:shd w:val="clear" w:color="auto" w:fill="auto"/>
                  <w:tcMar>
                    <w:top w:w="72" w:type="dxa"/>
                    <w:left w:w="144" w:type="dxa"/>
                    <w:bottom w:w="72" w:type="dxa"/>
                    <w:right w:w="144" w:type="dxa"/>
                  </w:tcMar>
                  <w:vAlign w:val="center"/>
                </w:tcPr>
                <w:p w14:paraId="59DB5517">
                  <w:pPr>
                    <w:autoSpaceDE w:val="0"/>
                    <w:autoSpaceDN w:val="0"/>
                    <w:adjustRightInd w:val="0"/>
                    <w:snapToGrid w:val="0"/>
                    <w:ind w:left="105" w:leftChars="50" w:right="105" w:rightChars="50"/>
                    <w:jc w:val="center"/>
                    <w:rPr>
                      <w:b/>
                      <w:bCs/>
                    </w:rPr>
                  </w:pPr>
                  <w:r>
                    <w:rPr>
                      <w:rFonts w:hint="eastAsia"/>
                      <w:b/>
                      <w:bCs/>
                    </w:rPr>
                    <w:t>1810</w:t>
                  </w:r>
                </w:p>
              </w:tc>
            </w:tr>
          </w:tbl>
          <w:p w14:paraId="6E08FF19">
            <w:r>
              <w:rPr>
                <w:rFonts w:hint="eastAsia"/>
              </w:rPr>
              <w:t>不含增值税总价超过限价标准的报价做否决应答处理。</w:t>
            </w:r>
          </w:p>
        </w:tc>
      </w:tr>
      <w:tr w14:paraId="3FD3D4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26" w:type="dxa"/>
            <w:vAlign w:val="center"/>
          </w:tcPr>
          <w:p w14:paraId="0F55F846">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2.15.1</w:t>
            </w:r>
          </w:p>
        </w:tc>
        <w:tc>
          <w:tcPr>
            <w:tcW w:w="1635" w:type="dxa"/>
            <w:vAlign w:val="center"/>
          </w:tcPr>
          <w:p w14:paraId="00D47F11">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应答保证金金额</w:t>
            </w:r>
          </w:p>
        </w:tc>
        <w:tc>
          <w:tcPr>
            <w:tcW w:w="5950" w:type="dxa"/>
            <w:vAlign w:val="center"/>
          </w:tcPr>
          <w:p w14:paraId="0E70BE22">
            <w:pPr>
              <w:autoSpaceDE w:val="0"/>
              <w:autoSpaceDN w:val="0"/>
              <w:adjustRightInd w:val="0"/>
              <w:snapToGrid w:val="0"/>
              <w:spacing w:line="360" w:lineRule="auto"/>
              <w:ind w:right="105" w:rightChars="50"/>
              <w:jc w:val="left"/>
              <w:rPr>
                <w:rFonts w:ascii="宋体" w:hAnsi="宋体" w:cs="宋体"/>
                <w:color w:val="000000"/>
                <w:sz w:val="20"/>
                <w:szCs w:val="20"/>
              </w:rPr>
            </w:pPr>
            <w:r>
              <w:rPr>
                <w:rFonts w:hint="eastAsia" w:ascii="宋体" w:hAnsi="宋体" w:cs="宋体"/>
                <w:b/>
                <w:color w:val="FF0000"/>
                <w:sz w:val="20"/>
                <w:szCs w:val="20"/>
              </w:rPr>
              <w:t>本项目不涉及。</w:t>
            </w:r>
          </w:p>
        </w:tc>
      </w:tr>
      <w:tr w14:paraId="05B9F6E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26" w:type="dxa"/>
            <w:vAlign w:val="center"/>
          </w:tcPr>
          <w:p w14:paraId="47B5E28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2.15.2</w:t>
            </w:r>
          </w:p>
        </w:tc>
        <w:tc>
          <w:tcPr>
            <w:tcW w:w="1635" w:type="dxa"/>
            <w:vAlign w:val="center"/>
          </w:tcPr>
          <w:p w14:paraId="1168CE7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themeColor="text1"/>
                <w:sz w:val="20"/>
                <w:szCs w:val="20"/>
                <w14:textFill>
                  <w14:solidFill>
                    <w14:schemeClr w14:val="tx1"/>
                  </w14:solidFill>
                </w14:textFill>
              </w:rPr>
              <w:t>应答保证金形式</w:t>
            </w:r>
          </w:p>
        </w:tc>
        <w:tc>
          <w:tcPr>
            <w:tcW w:w="5950" w:type="dxa"/>
            <w:vAlign w:val="center"/>
          </w:tcPr>
          <w:p w14:paraId="30C560E1">
            <w:pPr>
              <w:pStyle w:val="18"/>
              <w:snapToGrid w:val="0"/>
              <w:spacing w:line="360" w:lineRule="auto"/>
              <w:rPr>
                <w:b/>
                <w:bCs/>
                <w:sz w:val="20"/>
                <w:szCs w:val="21"/>
              </w:rPr>
            </w:pPr>
            <w:r>
              <w:rPr>
                <w:rFonts w:hint="eastAsia" w:ascii="宋体" w:hAnsi="宋体" w:cs="宋体"/>
                <w:b/>
                <w:color w:val="FF0000"/>
                <w:sz w:val="20"/>
              </w:rPr>
              <w:t>本项目不涉及。</w:t>
            </w:r>
          </w:p>
        </w:tc>
      </w:tr>
      <w:tr w14:paraId="0D4025E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26" w:type="dxa"/>
            <w:vAlign w:val="center"/>
          </w:tcPr>
          <w:p w14:paraId="2CFD045F">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2.15.4</w:t>
            </w:r>
          </w:p>
        </w:tc>
        <w:tc>
          <w:tcPr>
            <w:tcW w:w="1635" w:type="dxa"/>
            <w:vAlign w:val="center"/>
          </w:tcPr>
          <w:p w14:paraId="0DC4E10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themeColor="text1"/>
                <w:sz w:val="20"/>
                <w:szCs w:val="20"/>
                <w14:textFill>
                  <w14:solidFill>
                    <w14:schemeClr w14:val="tx1"/>
                  </w14:solidFill>
                </w14:textFill>
              </w:rPr>
              <w:t>应答保证金不予退还的其他规定</w:t>
            </w:r>
          </w:p>
        </w:tc>
        <w:tc>
          <w:tcPr>
            <w:tcW w:w="5950" w:type="dxa"/>
            <w:vAlign w:val="center"/>
          </w:tcPr>
          <w:p w14:paraId="47410CCB">
            <w:pPr>
              <w:pStyle w:val="18"/>
              <w:snapToGrid w:val="0"/>
              <w:spacing w:line="360" w:lineRule="auto"/>
              <w:rPr>
                <w:b/>
                <w:bCs/>
                <w:sz w:val="20"/>
                <w:szCs w:val="21"/>
              </w:rPr>
            </w:pPr>
            <w:r>
              <w:rPr>
                <w:rFonts w:hint="eastAsia" w:ascii="宋体" w:hAnsi="宋体" w:cs="宋体"/>
                <w:b/>
                <w:color w:val="FF0000"/>
                <w:sz w:val="20"/>
              </w:rPr>
              <w:t>本项目不涉及。</w:t>
            </w:r>
          </w:p>
        </w:tc>
      </w:tr>
      <w:tr w14:paraId="0EE7BA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5FFA05A4">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2.16</w:t>
            </w:r>
          </w:p>
        </w:tc>
        <w:tc>
          <w:tcPr>
            <w:tcW w:w="1635" w:type="dxa"/>
            <w:vAlign w:val="center"/>
          </w:tcPr>
          <w:p w14:paraId="3B5623AB">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应答有效期</w:t>
            </w:r>
          </w:p>
        </w:tc>
        <w:tc>
          <w:tcPr>
            <w:tcW w:w="5950" w:type="dxa"/>
            <w:vAlign w:val="center"/>
          </w:tcPr>
          <w:p w14:paraId="5BA04B6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★应答有效期：</w:t>
            </w:r>
            <w:r>
              <w:rPr>
                <w:rFonts w:hint="eastAsia" w:ascii="宋体" w:hAnsi="宋体" w:cs="宋体"/>
                <w:color w:val="000000"/>
                <w:sz w:val="20"/>
                <w:szCs w:val="20"/>
                <w:u w:val="single"/>
              </w:rPr>
              <w:t>120</w:t>
            </w:r>
            <w:r>
              <w:rPr>
                <w:rFonts w:hint="eastAsia" w:ascii="宋体" w:hAnsi="宋体" w:cs="宋体"/>
                <w:color w:val="000000"/>
                <w:sz w:val="20"/>
                <w:szCs w:val="20"/>
              </w:rPr>
              <w:t>天。</w:t>
            </w:r>
          </w:p>
        </w:tc>
      </w:tr>
      <w:tr w14:paraId="1D2342B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59" w:hRule="atLeast"/>
          <w:jc w:val="center"/>
        </w:trPr>
        <w:tc>
          <w:tcPr>
            <w:tcW w:w="926" w:type="dxa"/>
            <w:vAlign w:val="center"/>
          </w:tcPr>
          <w:p w14:paraId="76F2FB0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2.17</w:t>
            </w:r>
          </w:p>
        </w:tc>
        <w:tc>
          <w:tcPr>
            <w:tcW w:w="1635" w:type="dxa"/>
            <w:vAlign w:val="center"/>
          </w:tcPr>
          <w:p w14:paraId="2C8BEA6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备选应答方案</w:t>
            </w:r>
          </w:p>
        </w:tc>
        <w:tc>
          <w:tcPr>
            <w:tcW w:w="5950" w:type="dxa"/>
            <w:vAlign w:val="center"/>
          </w:tcPr>
          <w:p w14:paraId="4A731A3C">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不允许</w:t>
            </w:r>
          </w:p>
        </w:tc>
      </w:tr>
      <w:tr w14:paraId="60FD32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39382ED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2.18</w:t>
            </w:r>
          </w:p>
        </w:tc>
        <w:tc>
          <w:tcPr>
            <w:tcW w:w="1635" w:type="dxa"/>
            <w:vAlign w:val="center"/>
          </w:tcPr>
          <w:p w14:paraId="1D5E00E3">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应答文件份数</w:t>
            </w:r>
          </w:p>
        </w:tc>
        <w:tc>
          <w:tcPr>
            <w:tcW w:w="5950" w:type="dxa"/>
            <w:vAlign w:val="center"/>
          </w:tcPr>
          <w:p w14:paraId="06313926">
            <w:pPr>
              <w:autoSpaceDE w:val="0"/>
              <w:autoSpaceDN w:val="0"/>
              <w:snapToGrid w:val="0"/>
              <w:spacing w:line="360" w:lineRule="auto"/>
              <w:rPr>
                <w:color w:val="000000" w:themeColor="text1"/>
                <w:sz w:val="20"/>
                <w:szCs w:val="21"/>
                <w14:textFill>
                  <w14:solidFill>
                    <w14:schemeClr w14:val="tx1"/>
                  </w14:solidFill>
                </w14:textFill>
              </w:rPr>
            </w:pPr>
            <w:r>
              <w:rPr>
                <w:rFonts w:hint="eastAsia" w:ascii="宋体" w:hAnsi="宋体" w:cs="宋体"/>
                <w:sz w:val="20"/>
                <w:szCs w:val="20"/>
              </w:rPr>
              <w:t>应答文件份数：</w:t>
            </w:r>
            <w:r>
              <w:rPr>
                <w:rFonts w:hint="eastAsia"/>
                <w:color w:val="000000" w:themeColor="text1"/>
                <w:sz w:val="20"/>
                <w:szCs w:val="21"/>
                <w:u w:val="single"/>
                <w14:textFill>
                  <w14:solidFill>
                    <w14:schemeClr w14:val="tx1"/>
                  </w14:solidFill>
                </w14:textFill>
              </w:rPr>
              <w:t>上传 扬州北辰电气集团有限公司指定邮箱 电子版 壹份</w:t>
            </w:r>
          </w:p>
          <w:p w14:paraId="2F6354B4">
            <w:pPr>
              <w:autoSpaceDE w:val="0"/>
              <w:autoSpaceDN w:val="0"/>
              <w:snapToGrid w:val="0"/>
              <w:spacing w:line="360" w:lineRule="auto"/>
              <w:rPr>
                <w:rFonts w:ascii="宋体" w:hAnsi="宋体" w:cs="宋体"/>
                <w:sz w:val="20"/>
                <w:szCs w:val="20"/>
              </w:rPr>
            </w:pPr>
            <w:r>
              <w:rPr>
                <w:rFonts w:hint="eastAsia" w:ascii="宋体" w:hAnsi="宋体" w:cs="宋体"/>
                <w:sz w:val="20"/>
                <w:szCs w:val="20"/>
              </w:rPr>
              <w:t>注：如项目是同质的，应答人同时投多个招标包的，则应答文件可以通用，但应当在封面注明所有的应答招标包名。如项目是不同质的，应答人同时投多个招标包的，则应答文件应按所招标包单独递交。</w:t>
            </w:r>
          </w:p>
        </w:tc>
      </w:tr>
      <w:tr w14:paraId="12E604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652ACB10">
            <w:pPr>
              <w:autoSpaceDE w:val="0"/>
              <w:autoSpaceDN w:val="0"/>
              <w:snapToGrid w:val="0"/>
              <w:spacing w:line="360" w:lineRule="auto"/>
              <w:rPr>
                <w:rFonts w:ascii="宋体" w:hAnsi="宋体" w:cs="宋体"/>
                <w:sz w:val="20"/>
                <w:szCs w:val="20"/>
              </w:rPr>
            </w:pPr>
            <w:r>
              <w:rPr>
                <w:rFonts w:hint="eastAsia" w:ascii="宋体" w:hAnsi="宋体" w:cs="宋体"/>
                <w:sz w:val="20"/>
                <w:szCs w:val="20"/>
              </w:rPr>
              <w:t>2.18</w:t>
            </w:r>
          </w:p>
        </w:tc>
        <w:tc>
          <w:tcPr>
            <w:tcW w:w="1635" w:type="dxa"/>
            <w:vAlign w:val="center"/>
          </w:tcPr>
          <w:p w14:paraId="30289FE5">
            <w:pPr>
              <w:adjustRightInd w:val="0"/>
              <w:snapToGrid w:val="0"/>
              <w:spacing w:line="360" w:lineRule="auto"/>
              <w:rPr>
                <w:rFonts w:ascii="宋体" w:hAnsi="宋体" w:cs="宋体"/>
                <w:color w:val="000000"/>
                <w:sz w:val="20"/>
                <w:szCs w:val="20"/>
              </w:rPr>
            </w:pPr>
            <w:r>
              <w:rPr>
                <w:rFonts w:hint="eastAsia" w:ascii="宋体" w:hAnsi="宋体" w:cs="宋体"/>
                <w:sz w:val="20"/>
                <w:szCs w:val="20"/>
              </w:rPr>
              <w:t>★</w:t>
            </w:r>
            <w:r>
              <w:rPr>
                <w:rFonts w:hint="eastAsia" w:ascii="宋体" w:hAnsi="宋体" w:cs="宋体"/>
                <w:color w:val="000000"/>
                <w:sz w:val="20"/>
                <w:szCs w:val="20"/>
              </w:rPr>
              <w:t>应答文件签字、盖章</w:t>
            </w:r>
          </w:p>
        </w:tc>
        <w:tc>
          <w:tcPr>
            <w:tcW w:w="5950" w:type="dxa"/>
            <w:vAlign w:val="center"/>
          </w:tcPr>
          <w:p w14:paraId="2625EB05">
            <w:pPr>
              <w:autoSpaceDE w:val="0"/>
              <w:autoSpaceDN w:val="0"/>
              <w:snapToGrid w:val="0"/>
              <w:spacing w:line="360" w:lineRule="auto"/>
              <w:rPr>
                <w:rFonts w:ascii="宋体" w:hAnsi="宋体" w:cs="宋体"/>
                <w:sz w:val="20"/>
                <w:szCs w:val="20"/>
              </w:rPr>
            </w:pPr>
            <w:r>
              <w:rPr>
                <w:rFonts w:hint="eastAsia" w:ascii="宋体" w:hAnsi="宋体" w:cs="宋体"/>
                <w:kern w:val="0"/>
                <w:sz w:val="20"/>
                <w:szCs w:val="20"/>
              </w:rPr>
              <w:t>1、</w:t>
            </w:r>
            <w:r>
              <w:rPr>
                <w:rFonts w:hint="eastAsia" w:ascii="宋体" w:hAnsi="宋体" w:cs="宋体"/>
                <w:sz w:val="20"/>
                <w:szCs w:val="20"/>
              </w:rPr>
              <w:t>应答文件中所有标明需盖章的文件须加盖单位公章，需法定代表人或者其委托代理人签字的地方必须书写签字或盖签名章。</w:t>
            </w:r>
          </w:p>
          <w:p w14:paraId="002411F2">
            <w:pPr>
              <w:autoSpaceDE w:val="0"/>
              <w:autoSpaceDN w:val="0"/>
              <w:snapToGrid w:val="0"/>
              <w:spacing w:line="360" w:lineRule="auto"/>
              <w:rPr>
                <w:rFonts w:ascii="宋体" w:hAnsi="宋体" w:cs="宋体"/>
                <w:sz w:val="20"/>
                <w:szCs w:val="20"/>
              </w:rPr>
            </w:pPr>
            <w:r>
              <w:rPr>
                <w:rFonts w:hint="eastAsia" w:ascii="宋体" w:hAnsi="宋体" w:cs="宋体"/>
                <w:sz w:val="20"/>
                <w:szCs w:val="20"/>
              </w:rPr>
              <w:t>注：</w:t>
            </w:r>
            <w:r>
              <w:rPr>
                <w:rFonts w:hint="eastAsia" w:ascii="宋体" w:hAnsi="宋体" w:cs="宋体"/>
                <w:sz w:val="20"/>
                <w:szCs w:val="20"/>
              </w:rPr>
              <w:fldChar w:fldCharType="begin"/>
            </w:r>
            <w:r>
              <w:rPr>
                <w:rFonts w:hint="eastAsia" w:ascii="宋体" w:hAnsi="宋体" w:cs="宋体"/>
                <w:sz w:val="20"/>
                <w:szCs w:val="20"/>
              </w:rPr>
              <w:instrText xml:space="preserve"> = 1 \* GB3 </w:instrText>
            </w:r>
            <w:r>
              <w:rPr>
                <w:rFonts w:hint="eastAsia" w:ascii="宋体" w:hAnsi="宋体" w:cs="宋体"/>
                <w:sz w:val="20"/>
                <w:szCs w:val="20"/>
              </w:rPr>
              <w:fldChar w:fldCharType="separate"/>
            </w:r>
            <w:r>
              <w:rPr>
                <w:rFonts w:hint="eastAsia" w:ascii="宋体" w:hAnsi="宋体" w:cs="宋体"/>
                <w:sz w:val="20"/>
                <w:szCs w:val="20"/>
              </w:rPr>
              <w:t>①</w:t>
            </w:r>
            <w:r>
              <w:rPr>
                <w:rFonts w:hint="eastAsia" w:ascii="宋体" w:hAnsi="宋体" w:cs="宋体"/>
                <w:sz w:val="20"/>
                <w:szCs w:val="20"/>
              </w:rPr>
              <w:fldChar w:fldCharType="end"/>
            </w:r>
            <w:r>
              <w:rPr>
                <w:rFonts w:hint="eastAsia" w:ascii="宋体" w:hAnsi="宋体" w:cs="宋体"/>
                <w:sz w:val="20"/>
                <w:szCs w:val="20"/>
              </w:rPr>
              <w:t>文件中所有标注“盖章”处原则上均指单位公章，不能以“业务章”、“专用章”等代替；如确需要替代，则必须附公章及法人代表对“业务章”、“专用章”等的授权(格式详见附件，且应答文件中必须附</w:t>
            </w:r>
            <w:r>
              <w:rPr>
                <w:rFonts w:hint="eastAsia" w:ascii="宋体" w:hAnsi="宋体" w:cs="宋体"/>
                <w:b/>
                <w:bCs/>
                <w:sz w:val="20"/>
                <w:szCs w:val="20"/>
              </w:rPr>
              <w:t>彩色扫描件)</w:t>
            </w:r>
            <w:r>
              <w:rPr>
                <w:rFonts w:hint="eastAsia" w:ascii="宋体" w:hAnsi="宋体" w:cs="宋体"/>
                <w:sz w:val="20"/>
                <w:szCs w:val="20"/>
              </w:rPr>
              <w:t>。</w:t>
            </w:r>
          </w:p>
          <w:p w14:paraId="19BA14D5">
            <w:pPr>
              <w:snapToGrid w:val="0"/>
              <w:spacing w:line="360" w:lineRule="auto"/>
              <w:rPr>
                <w:rFonts w:ascii="宋体" w:hAnsi="宋体" w:cs="宋体"/>
                <w:sz w:val="20"/>
                <w:szCs w:val="20"/>
              </w:rPr>
            </w:pPr>
            <w:r>
              <w:rPr>
                <w:rFonts w:hint="eastAsia" w:ascii="宋体" w:hAnsi="宋体" w:cs="宋体"/>
                <w:sz w:val="20"/>
                <w:szCs w:val="20"/>
              </w:rPr>
              <w:fldChar w:fldCharType="begin"/>
            </w:r>
            <w:r>
              <w:rPr>
                <w:rFonts w:hint="eastAsia" w:ascii="宋体" w:hAnsi="宋体" w:cs="宋体"/>
                <w:sz w:val="20"/>
                <w:szCs w:val="20"/>
              </w:rPr>
              <w:instrText xml:space="preserve"> = 2 \* GB3 </w:instrText>
            </w:r>
            <w:r>
              <w:rPr>
                <w:rFonts w:hint="eastAsia" w:ascii="宋体" w:hAnsi="宋体" w:cs="宋体"/>
                <w:sz w:val="20"/>
                <w:szCs w:val="20"/>
              </w:rPr>
              <w:fldChar w:fldCharType="separate"/>
            </w:r>
            <w:r>
              <w:rPr>
                <w:rFonts w:hint="eastAsia" w:ascii="宋体" w:hAnsi="宋体" w:cs="宋体"/>
                <w:sz w:val="20"/>
                <w:szCs w:val="20"/>
              </w:rPr>
              <w:t>②</w:t>
            </w:r>
            <w:r>
              <w:rPr>
                <w:rFonts w:hint="eastAsia" w:ascii="宋体" w:hAnsi="宋体" w:cs="宋体"/>
                <w:sz w:val="20"/>
                <w:szCs w:val="20"/>
              </w:rPr>
              <w:fldChar w:fldCharType="end"/>
            </w:r>
            <w:r>
              <w:rPr>
                <w:rFonts w:hint="eastAsia" w:ascii="宋体" w:hAnsi="宋体" w:cs="宋体"/>
                <w:sz w:val="20"/>
                <w:szCs w:val="20"/>
              </w:rPr>
              <w:t>文件中所有标注“签字”处均指书写签字或签名章，不能以打印体代替。</w:t>
            </w:r>
          </w:p>
        </w:tc>
      </w:tr>
      <w:tr w14:paraId="165E65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10" w:hRule="atLeast"/>
          <w:jc w:val="center"/>
        </w:trPr>
        <w:tc>
          <w:tcPr>
            <w:tcW w:w="926" w:type="dxa"/>
            <w:vAlign w:val="center"/>
          </w:tcPr>
          <w:p w14:paraId="59C676F5">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2.19</w:t>
            </w:r>
          </w:p>
        </w:tc>
        <w:tc>
          <w:tcPr>
            <w:tcW w:w="1635" w:type="dxa"/>
            <w:vAlign w:val="center"/>
          </w:tcPr>
          <w:p w14:paraId="3C9F6B8C">
            <w:pPr>
              <w:adjustRightInd w:val="0"/>
              <w:snapToGrid w:val="0"/>
              <w:spacing w:line="360" w:lineRule="auto"/>
              <w:rPr>
                <w:rFonts w:ascii="宋体" w:hAnsi="宋体" w:cs="宋体"/>
                <w:sz w:val="20"/>
                <w:szCs w:val="20"/>
              </w:rPr>
            </w:pPr>
            <w:r>
              <w:rPr>
                <w:rFonts w:hint="eastAsia" w:ascii="宋体" w:hAnsi="宋体" w:cs="宋体"/>
                <w:sz w:val="20"/>
                <w:szCs w:val="20"/>
              </w:rPr>
              <w:t>应答文件的密封和标记</w:t>
            </w:r>
          </w:p>
        </w:tc>
        <w:tc>
          <w:tcPr>
            <w:tcW w:w="5950" w:type="dxa"/>
            <w:vAlign w:val="center"/>
          </w:tcPr>
          <w:p w14:paraId="79DA2547">
            <w:r>
              <w:rPr>
                <w:rFonts w:hint="eastAsia" w:ascii="宋体" w:hAnsi="宋体" w:cs="宋体"/>
                <w:sz w:val="20"/>
                <w:szCs w:val="20"/>
              </w:rPr>
              <w:t xml:space="preserve">2.19.1 </w:t>
            </w:r>
            <w:bookmarkStart w:id="11" w:name="_Hlk499206553"/>
            <w:r>
              <w:rPr>
                <w:rFonts w:hint="eastAsia" w:ascii="宋体" w:hAnsi="宋体" w:cs="宋体"/>
                <w:sz w:val="20"/>
                <w:szCs w:val="20"/>
              </w:rPr>
              <w:t>应答文件所有内容</w:t>
            </w:r>
            <w:r>
              <w:rPr>
                <w:rFonts w:hint="eastAsia" w:ascii="宋体" w:hAnsi="宋体" w:cs="宋体"/>
                <w:b/>
                <w:bCs/>
                <w:sz w:val="20"/>
                <w:szCs w:val="20"/>
              </w:rPr>
              <w:t>均应</w:t>
            </w:r>
            <w:bookmarkEnd w:id="11"/>
            <w:r>
              <w:rPr>
                <w:rFonts w:hint="eastAsia" w:ascii="宋体" w:hAnsi="宋体" w:cs="宋体"/>
                <w:b/>
                <w:bCs/>
                <w:sz w:val="20"/>
                <w:szCs w:val="20"/>
                <w:lang w:val="en-US" w:eastAsia="zh-CN"/>
              </w:rPr>
              <w:t>以</w:t>
            </w:r>
            <w:r>
              <w:rPr>
                <w:rFonts w:hint="eastAsia" w:ascii="宋体" w:hAnsi="宋体" w:cs="宋体"/>
                <w:sz w:val="20"/>
                <w:szCs w:val="20"/>
              </w:rPr>
              <w:t>“</w:t>
            </w:r>
            <w:r>
              <w:rPr>
                <w:rFonts w:hint="eastAsia" w:ascii="宋体" w:hAnsi="宋体" w:cs="宋体"/>
                <w:b/>
                <w:sz w:val="20"/>
                <w:szCs w:val="20"/>
              </w:rPr>
              <w:t>江苏省某单位设备100070招标项目-招标应答文件-XXX公司</w:t>
            </w:r>
            <w:r>
              <w:rPr>
                <w:rFonts w:hint="eastAsia" w:ascii="宋体" w:hAnsi="宋体" w:cs="宋体"/>
                <w:sz w:val="20"/>
                <w:szCs w:val="20"/>
              </w:rPr>
              <w:t>”命名。</w:t>
            </w:r>
          </w:p>
          <w:p w14:paraId="17ACCDD5">
            <w:pPr>
              <w:pStyle w:val="19"/>
              <w:topLinePunct/>
              <w:snapToGrid w:val="0"/>
              <w:spacing w:after="0" w:line="360" w:lineRule="auto"/>
              <w:rPr>
                <w:rFonts w:ascii="宋体" w:hAnsi="宋体" w:cs="宋体"/>
                <w:sz w:val="20"/>
                <w:szCs w:val="20"/>
              </w:rPr>
            </w:pPr>
            <w:r>
              <w:rPr>
                <w:rFonts w:hint="eastAsia" w:ascii="宋体" w:hAnsi="宋体" w:cs="宋体"/>
                <w:sz w:val="20"/>
                <w:szCs w:val="20"/>
              </w:rPr>
              <w:t>★2.19.2应答文件的应答应为中文文本。商务规范和技术规范不一致，以商务规范为准。</w:t>
            </w:r>
          </w:p>
        </w:tc>
      </w:tr>
      <w:tr w14:paraId="561518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149EC4FA">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2.20</w:t>
            </w:r>
          </w:p>
        </w:tc>
        <w:tc>
          <w:tcPr>
            <w:tcW w:w="1635" w:type="dxa"/>
            <w:vAlign w:val="center"/>
          </w:tcPr>
          <w:p w14:paraId="1974BC4B">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应答截止时间</w:t>
            </w:r>
          </w:p>
        </w:tc>
        <w:tc>
          <w:tcPr>
            <w:tcW w:w="5950" w:type="dxa"/>
            <w:vAlign w:val="center"/>
          </w:tcPr>
          <w:p w14:paraId="3CD87D38">
            <w:pPr>
              <w:autoSpaceDE w:val="0"/>
              <w:autoSpaceDN w:val="0"/>
              <w:snapToGrid w:val="0"/>
              <w:spacing w:line="360" w:lineRule="auto"/>
              <w:rPr>
                <w:rFonts w:ascii="宋体" w:hAnsi="宋体" w:cs="宋体"/>
                <w:b/>
                <w:color w:val="000000"/>
                <w:sz w:val="20"/>
                <w:szCs w:val="20"/>
              </w:rPr>
            </w:pPr>
            <w:r>
              <w:rPr>
                <w:rFonts w:hint="eastAsia" w:ascii="宋体" w:hAnsi="宋体" w:cs="宋体"/>
                <w:b/>
                <w:color w:val="000000"/>
                <w:sz w:val="20"/>
                <w:szCs w:val="20"/>
              </w:rPr>
              <w:t>应答截止时间：详见第一章 招标公告。</w:t>
            </w:r>
          </w:p>
        </w:tc>
      </w:tr>
      <w:tr w14:paraId="378D29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63E594B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2.20</w:t>
            </w:r>
          </w:p>
        </w:tc>
        <w:tc>
          <w:tcPr>
            <w:tcW w:w="1635" w:type="dxa"/>
            <w:vAlign w:val="center"/>
          </w:tcPr>
          <w:p w14:paraId="4A2FC169">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递交应答文件</w:t>
            </w:r>
          </w:p>
        </w:tc>
        <w:tc>
          <w:tcPr>
            <w:tcW w:w="5950" w:type="dxa"/>
            <w:vAlign w:val="center"/>
          </w:tcPr>
          <w:p w14:paraId="08D4546F">
            <w:pPr>
              <w:autoSpaceDE w:val="0"/>
              <w:autoSpaceDN w:val="0"/>
              <w:snapToGrid w:val="0"/>
              <w:spacing w:line="360" w:lineRule="auto"/>
              <w:jc w:val="left"/>
              <w:rPr>
                <w:rFonts w:ascii="宋体" w:hAnsi="宋体" w:cs="宋体"/>
                <w:b/>
                <w:color w:val="000000"/>
                <w:sz w:val="20"/>
                <w:szCs w:val="20"/>
                <w:u w:val="single"/>
              </w:rPr>
            </w:pPr>
            <w:r>
              <w:rPr>
                <w:rFonts w:hint="eastAsia" w:ascii="宋体" w:hAnsi="宋体" w:cs="宋体"/>
                <w:b/>
                <w:sz w:val="20"/>
                <w:szCs w:val="20"/>
              </w:rPr>
              <w:t>通过“扬州北辰电气集团有限公司指定邮箱”上传应答文件。</w:t>
            </w:r>
          </w:p>
        </w:tc>
      </w:tr>
      <w:tr w14:paraId="7B9BDC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88" w:hRule="atLeast"/>
          <w:jc w:val="center"/>
        </w:trPr>
        <w:tc>
          <w:tcPr>
            <w:tcW w:w="926" w:type="dxa"/>
            <w:vAlign w:val="center"/>
          </w:tcPr>
          <w:p w14:paraId="765D2D77">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2.22</w:t>
            </w:r>
          </w:p>
        </w:tc>
        <w:tc>
          <w:tcPr>
            <w:tcW w:w="1635" w:type="dxa"/>
            <w:vAlign w:val="center"/>
          </w:tcPr>
          <w:p w14:paraId="2EBC954C">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公开唱价</w:t>
            </w:r>
          </w:p>
        </w:tc>
        <w:tc>
          <w:tcPr>
            <w:tcW w:w="5950" w:type="dxa"/>
            <w:vAlign w:val="center"/>
          </w:tcPr>
          <w:p w14:paraId="287DB3FB">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公开唱价时间：</w:t>
            </w:r>
            <w:r>
              <w:rPr>
                <w:rFonts w:hint="eastAsia" w:ascii="宋体" w:hAnsi="宋体" w:cs="宋体"/>
                <w:color w:val="000000"/>
                <w:sz w:val="20"/>
                <w:szCs w:val="20"/>
                <w:u w:val="single"/>
              </w:rPr>
              <w:t>（同应答截止时间）；</w:t>
            </w:r>
          </w:p>
          <w:p w14:paraId="288428F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u w:val="single"/>
              </w:rPr>
              <w:t>通过“扬州北辰电气集团有限公司官网”向所有参与应答的合作伙伴公开唱价</w:t>
            </w:r>
            <w:r>
              <w:rPr>
                <w:rFonts w:hint="eastAsia" w:ascii="宋体" w:hAnsi="宋体" w:cs="宋体"/>
                <w:sz w:val="20"/>
                <w:szCs w:val="20"/>
              </w:rPr>
              <w:t>。</w:t>
            </w:r>
          </w:p>
        </w:tc>
      </w:tr>
      <w:tr w14:paraId="7F6BA7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18" w:hRule="atLeast"/>
          <w:jc w:val="center"/>
        </w:trPr>
        <w:tc>
          <w:tcPr>
            <w:tcW w:w="926" w:type="dxa"/>
            <w:vAlign w:val="center"/>
          </w:tcPr>
          <w:p w14:paraId="49F6531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2.26</w:t>
            </w:r>
          </w:p>
        </w:tc>
        <w:tc>
          <w:tcPr>
            <w:tcW w:w="1635" w:type="dxa"/>
            <w:vAlign w:val="center"/>
          </w:tcPr>
          <w:p w14:paraId="210B430E">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评审方法</w:t>
            </w:r>
          </w:p>
        </w:tc>
        <w:tc>
          <w:tcPr>
            <w:tcW w:w="5950" w:type="dxa"/>
            <w:vAlign w:val="center"/>
          </w:tcPr>
          <w:p w14:paraId="1C45A0F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综合评估法</w:t>
            </w:r>
          </w:p>
        </w:tc>
      </w:tr>
      <w:tr w14:paraId="6E7B2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70" w:hRule="atLeast"/>
          <w:jc w:val="center"/>
        </w:trPr>
        <w:tc>
          <w:tcPr>
            <w:tcW w:w="926" w:type="dxa"/>
            <w:vAlign w:val="center"/>
          </w:tcPr>
          <w:p w14:paraId="29E4FF61">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2.27</w:t>
            </w:r>
          </w:p>
        </w:tc>
        <w:tc>
          <w:tcPr>
            <w:tcW w:w="1635" w:type="dxa"/>
            <w:vAlign w:val="center"/>
          </w:tcPr>
          <w:p w14:paraId="2D055C4F">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招标分包</w:t>
            </w:r>
          </w:p>
        </w:tc>
        <w:tc>
          <w:tcPr>
            <w:tcW w:w="5950" w:type="dxa"/>
            <w:vAlign w:val="center"/>
          </w:tcPr>
          <w:p w14:paraId="5BB6E44D">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不划分标包</w:t>
            </w:r>
          </w:p>
        </w:tc>
      </w:tr>
      <w:tr w14:paraId="1D7733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747" w:hRule="atLeast"/>
          <w:jc w:val="center"/>
        </w:trPr>
        <w:tc>
          <w:tcPr>
            <w:tcW w:w="926" w:type="dxa"/>
            <w:vAlign w:val="center"/>
          </w:tcPr>
          <w:p w14:paraId="2CF3C875">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5.3.4</w:t>
            </w:r>
          </w:p>
        </w:tc>
        <w:tc>
          <w:tcPr>
            <w:tcW w:w="1635" w:type="dxa"/>
            <w:vAlign w:val="center"/>
          </w:tcPr>
          <w:p w14:paraId="2EDD1458">
            <w:pPr>
              <w:adjustRightInd w:val="0"/>
              <w:snapToGrid w:val="0"/>
              <w:spacing w:line="360" w:lineRule="auto"/>
              <w:rPr>
                <w:rFonts w:ascii="宋体" w:hAnsi="宋体" w:cs="宋体"/>
                <w:color w:val="000000"/>
                <w:sz w:val="20"/>
                <w:szCs w:val="20"/>
              </w:rPr>
            </w:pPr>
            <w:r>
              <w:rPr>
                <w:rFonts w:hint="eastAsia" w:ascii="宋体" w:hAnsi="宋体" w:cs="宋体"/>
                <w:color w:val="000000"/>
                <w:sz w:val="20"/>
                <w:szCs w:val="20"/>
              </w:rPr>
              <w:t>评委推荐的中选候选人个数</w:t>
            </w:r>
          </w:p>
        </w:tc>
        <w:tc>
          <w:tcPr>
            <w:tcW w:w="5950" w:type="dxa"/>
            <w:vAlign w:val="center"/>
          </w:tcPr>
          <w:p w14:paraId="608E1784">
            <w:pPr>
              <w:adjustRightInd w:val="0"/>
              <w:snapToGrid w:val="0"/>
              <w:spacing w:line="360" w:lineRule="auto"/>
              <w:rPr>
                <w:rFonts w:ascii="宋体" w:hAnsi="宋体" w:cs="宋体"/>
                <w:bCs/>
                <w:color w:val="000000"/>
                <w:sz w:val="20"/>
                <w:szCs w:val="20"/>
              </w:rPr>
            </w:pPr>
            <w:r>
              <w:rPr>
                <w:rFonts w:hint="eastAsia" w:ascii="宋体" w:hAnsi="宋体" w:cs="宋体"/>
                <w:bCs/>
                <w:color w:val="000000"/>
                <w:sz w:val="20"/>
                <w:szCs w:val="20"/>
              </w:rPr>
              <w:t>1名</w:t>
            </w:r>
          </w:p>
        </w:tc>
      </w:tr>
      <w:tr w14:paraId="6A07A6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26" w:type="dxa"/>
            <w:vAlign w:val="center"/>
          </w:tcPr>
          <w:p w14:paraId="4A4CDEB2">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5.4</w:t>
            </w:r>
          </w:p>
        </w:tc>
        <w:tc>
          <w:tcPr>
            <w:tcW w:w="1635" w:type="dxa"/>
            <w:vAlign w:val="center"/>
          </w:tcPr>
          <w:p w14:paraId="39711322">
            <w:pPr>
              <w:adjustRightInd w:val="0"/>
              <w:snapToGrid w:val="0"/>
              <w:spacing w:line="360" w:lineRule="auto"/>
              <w:rPr>
                <w:rFonts w:ascii="宋体" w:hAnsi="宋体" w:cs="宋体"/>
                <w:color w:val="000000"/>
                <w:sz w:val="20"/>
                <w:szCs w:val="20"/>
              </w:rPr>
            </w:pPr>
            <w:r>
              <w:rPr>
                <w:rFonts w:hint="eastAsia" w:ascii="宋体" w:hAnsi="宋体" w:cs="宋体"/>
                <w:color w:val="000000"/>
                <w:sz w:val="20"/>
                <w:szCs w:val="20"/>
              </w:rPr>
              <w:t>中选原则</w:t>
            </w:r>
          </w:p>
        </w:tc>
        <w:tc>
          <w:tcPr>
            <w:tcW w:w="5950" w:type="dxa"/>
            <w:vAlign w:val="center"/>
          </w:tcPr>
          <w:p w14:paraId="2335A6A2">
            <w:pPr>
              <w:keepNext/>
              <w:keepLines/>
              <w:numPr>
                <w:ilvl w:val="1"/>
                <w:numId w:val="0"/>
              </w:numPr>
              <w:snapToGrid w:val="0"/>
              <w:spacing w:line="360" w:lineRule="auto"/>
              <w:rPr>
                <w:rFonts w:ascii="宋体" w:hAnsi="宋体" w:cs="宋体"/>
                <w:sz w:val="20"/>
                <w:szCs w:val="20"/>
              </w:rPr>
            </w:pPr>
            <w:r>
              <w:rPr>
                <w:rFonts w:hint="eastAsia" w:ascii="宋体" w:hAnsi="宋体" w:cs="宋体"/>
                <w:sz w:val="20"/>
                <w:szCs w:val="20"/>
              </w:rPr>
              <w:t xml:space="preserve"> 经初步审查和详细评审后，评审小组对各合作伙伴的综合得分由高到低进行排序；综合得分相同时，依次按技术、报价评分优先排序。推荐第一名为业务合作伙伴推荐商。如中选合作伙伴主动提出弃权，可直接重新招标。</w:t>
            </w:r>
          </w:p>
        </w:tc>
      </w:tr>
      <w:tr w14:paraId="0227FE1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78" w:hRule="atLeast"/>
          <w:jc w:val="center"/>
        </w:trPr>
        <w:tc>
          <w:tcPr>
            <w:tcW w:w="926" w:type="dxa"/>
            <w:vAlign w:val="center"/>
          </w:tcPr>
          <w:p w14:paraId="6EECD16F">
            <w:pPr>
              <w:autoSpaceDE w:val="0"/>
              <w:autoSpaceDN w:val="0"/>
              <w:snapToGrid w:val="0"/>
              <w:spacing w:line="360" w:lineRule="auto"/>
              <w:rPr>
                <w:rFonts w:ascii="宋体" w:hAnsi="宋体" w:cs="宋体"/>
                <w:sz w:val="20"/>
                <w:szCs w:val="20"/>
              </w:rPr>
            </w:pPr>
            <w:r>
              <w:rPr>
                <w:rFonts w:hint="eastAsia" w:ascii="宋体" w:hAnsi="宋体" w:cs="宋体"/>
                <w:sz w:val="20"/>
                <w:szCs w:val="20"/>
              </w:rPr>
              <w:t>2.31</w:t>
            </w:r>
          </w:p>
        </w:tc>
        <w:tc>
          <w:tcPr>
            <w:tcW w:w="1635" w:type="dxa"/>
            <w:vAlign w:val="center"/>
          </w:tcPr>
          <w:p w14:paraId="5FB939B6">
            <w:pPr>
              <w:adjustRightInd w:val="0"/>
              <w:snapToGrid w:val="0"/>
              <w:spacing w:line="360" w:lineRule="auto"/>
              <w:rPr>
                <w:rFonts w:ascii="宋体" w:hAnsi="宋体" w:cs="宋体"/>
                <w:sz w:val="20"/>
                <w:szCs w:val="20"/>
              </w:rPr>
            </w:pPr>
            <w:r>
              <w:rPr>
                <w:rFonts w:hint="eastAsia" w:ascii="宋体" w:hAnsi="宋体" w:cs="宋体"/>
                <w:color w:val="000000"/>
                <w:sz w:val="20"/>
                <w:szCs w:val="20"/>
              </w:rPr>
              <w:t>履约保证金</w:t>
            </w:r>
          </w:p>
        </w:tc>
        <w:tc>
          <w:tcPr>
            <w:tcW w:w="5950" w:type="dxa"/>
            <w:vAlign w:val="center"/>
          </w:tcPr>
          <w:p w14:paraId="643BBAB0">
            <w:pPr>
              <w:pStyle w:val="18"/>
            </w:pPr>
            <w:r>
              <w:rPr>
                <w:rFonts w:hint="eastAsia" w:ascii="宋体" w:hAnsi="宋体" w:cs="宋体"/>
                <w:b/>
                <w:color w:val="FF0000"/>
                <w:sz w:val="20"/>
              </w:rPr>
              <w:t>本项目不涉及。</w:t>
            </w:r>
          </w:p>
        </w:tc>
      </w:tr>
      <w:tr w14:paraId="4B79153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926" w:type="dxa"/>
            <w:vAlign w:val="center"/>
          </w:tcPr>
          <w:p w14:paraId="4F0DAD57">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2.32</w:t>
            </w:r>
          </w:p>
        </w:tc>
        <w:tc>
          <w:tcPr>
            <w:tcW w:w="1635" w:type="dxa"/>
            <w:vAlign w:val="center"/>
          </w:tcPr>
          <w:p w14:paraId="535D45EE">
            <w:pPr>
              <w:autoSpaceDE w:val="0"/>
              <w:autoSpaceDN w:val="0"/>
              <w:snapToGrid w:val="0"/>
              <w:spacing w:line="360" w:lineRule="auto"/>
              <w:rPr>
                <w:rFonts w:ascii="宋体" w:hAnsi="宋体" w:cs="宋体"/>
                <w:sz w:val="20"/>
                <w:szCs w:val="20"/>
              </w:rPr>
            </w:pPr>
            <w:r>
              <w:rPr>
                <w:rFonts w:hint="eastAsia" w:ascii="宋体" w:hAnsi="宋体" w:cs="宋体"/>
                <w:color w:val="000000"/>
                <w:sz w:val="20"/>
                <w:szCs w:val="20"/>
              </w:rPr>
              <w:t>投诉处理</w:t>
            </w:r>
          </w:p>
        </w:tc>
        <w:tc>
          <w:tcPr>
            <w:tcW w:w="5950" w:type="dxa"/>
            <w:vAlign w:val="center"/>
          </w:tcPr>
          <w:p w14:paraId="2B390F34">
            <w:pPr>
              <w:adjustRightInd w:val="0"/>
              <w:snapToGrid w:val="0"/>
              <w:spacing w:line="360" w:lineRule="auto"/>
              <w:rPr>
                <w:rFonts w:ascii="宋体" w:hAnsi="宋体" w:cs="宋体"/>
                <w:sz w:val="20"/>
                <w:szCs w:val="20"/>
              </w:rPr>
            </w:pPr>
            <w:r>
              <w:rPr>
                <w:rFonts w:hint="eastAsia" w:ascii="宋体" w:hAnsi="宋体" w:cs="宋体"/>
                <w:sz w:val="20"/>
                <w:szCs w:val="20"/>
              </w:rPr>
              <w:t>应答人认为本次招标活动违反法律、法规和规章规定的，有权向招标人监督部门提出异议或投诉：</w:t>
            </w:r>
          </w:p>
          <w:p w14:paraId="76CC2CB5">
            <w:pPr>
              <w:widowControl/>
              <w:snapToGrid w:val="0"/>
              <w:spacing w:line="360" w:lineRule="auto"/>
              <w:jc w:val="left"/>
            </w:pPr>
            <w:r>
              <w:rPr>
                <w:rFonts w:hint="eastAsia" w:ascii="宋体" w:hAnsi="宋体" w:cs="宋体"/>
                <w:color w:val="000000"/>
                <w:sz w:val="20"/>
                <w:szCs w:val="20"/>
              </w:rPr>
              <w:t>异议受理电话：0514-82986352</w:t>
            </w:r>
          </w:p>
        </w:tc>
      </w:tr>
      <w:tr w14:paraId="76E718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8511" w:type="dxa"/>
            <w:gridSpan w:val="3"/>
            <w:vAlign w:val="center"/>
          </w:tcPr>
          <w:p w14:paraId="79FD78EA">
            <w:pPr>
              <w:autoSpaceDE w:val="0"/>
              <w:autoSpaceDN w:val="0"/>
              <w:snapToGrid w:val="0"/>
              <w:spacing w:line="360" w:lineRule="auto"/>
              <w:rPr>
                <w:rFonts w:ascii="宋体" w:hAnsi="宋体" w:cs="宋体"/>
                <w:sz w:val="20"/>
                <w:szCs w:val="20"/>
              </w:rPr>
            </w:pPr>
            <w:r>
              <w:rPr>
                <w:rFonts w:hint="eastAsia" w:ascii="宋体" w:hAnsi="宋体" w:cs="宋体"/>
                <w:b/>
                <w:sz w:val="20"/>
                <w:szCs w:val="20"/>
              </w:rPr>
              <w:t>以下条款适用于本供应商须知的额外增加的条款：</w:t>
            </w:r>
          </w:p>
        </w:tc>
      </w:tr>
      <w:tr w14:paraId="1FDFC9A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926" w:type="dxa"/>
            <w:vAlign w:val="center"/>
          </w:tcPr>
          <w:p w14:paraId="3F2B8D50">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2.34</w:t>
            </w:r>
          </w:p>
        </w:tc>
        <w:tc>
          <w:tcPr>
            <w:tcW w:w="1635" w:type="dxa"/>
            <w:vAlign w:val="center"/>
          </w:tcPr>
          <w:p w14:paraId="1B5A9042">
            <w:pPr>
              <w:autoSpaceDE w:val="0"/>
              <w:autoSpaceDN w:val="0"/>
              <w:snapToGrid w:val="0"/>
              <w:spacing w:line="360" w:lineRule="auto"/>
              <w:rPr>
                <w:rFonts w:ascii="宋体" w:hAnsi="宋体" w:cs="宋体"/>
                <w:sz w:val="20"/>
                <w:szCs w:val="20"/>
              </w:rPr>
            </w:pPr>
            <w:r>
              <w:rPr>
                <w:rFonts w:hint="eastAsia" w:ascii="宋体" w:hAnsi="宋体" w:cs="宋体"/>
                <w:sz w:val="20"/>
                <w:szCs w:val="20"/>
              </w:rPr>
              <w:t>★其他应答要求</w:t>
            </w:r>
          </w:p>
        </w:tc>
        <w:tc>
          <w:tcPr>
            <w:tcW w:w="5950" w:type="dxa"/>
            <w:vAlign w:val="center"/>
          </w:tcPr>
          <w:p w14:paraId="66BF1B2D">
            <w:pPr>
              <w:autoSpaceDE w:val="0"/>
              <w:autoSpaceDN w:val="0"/>
              <w:snapToGrid w:val="0"/>
              <w:spacing w:line="360" w:lineRule="auto"/>
              <w:rPr>
                <w:rFonts w:ascii="宋体" w:hAnsi="宋体" w:cs="宋体"/>
                <w:sz w:val="20"/>
                <w:szCs w:val="20"/>
                <w:highlight w:val="none"/>
              </w:rPr>
            </w:pPr>
            <w:r>
              <w:rPr>
                <w:rFonts w:hint="eastAsia" w:ascii="宋体" w:hAnsi="宋体" w:cs="宋体"/>
                <w:sz w:val="20"/>
                <w:szCs w:val="20"/>
                <w:highlight w:val="none"/>
              </w:rPr>
              <w:t>1、不允许任何形式的分包或转包。</w:t>
            </w:r>
          </w:p>
          <w:p w14:paraId="7261AA7D">
            <w:pPr>
              <w:autoSpaceDE w:val="0"/>
              <w:autoSpaceDN w:val="0"/>
              <w:snapToGrid w:val="0"/>
              <w:spacing w:line="360" w:lineRule="auto"/>
              <w:rPr>
                <w:rFonts w:ascii="宋体" w:hAnsi="宋体" w:cs="宋体"/>
                <w:sz w:val="20"/>
                <w:szCs w:val="20"/>
                <w:highlight w:val="none"/>
              </w:rPr>
            </w:pPr>
            <w:r>
              <w:rPr>
                <w:rFonts w:hint="eastAsia" w:ascii="宋体" w:hAnsi="宋体" w:cs="宋体"/>
                <w:sz w:val="20"/>
                <w:szCs w:val="20"/>
                <w:highlight w:val="none"/>
              </w:rPr>
              <w:t>2、法定代表人/负责人为同一人或者存在控股、管理关系的不同单位，不得参加同一标段应答或者未划分标段的同一项目应答。</w:t>
            </w:r>
          </w:p>
          <w:p w14:paraId="714C9000">
            <w:pPr>
              <w:autoSpaceDE w:val="0"/>
              <w:autoSpaceDN w:val="0"/>
              <w:snapToGrid w:val="0"/>
              <w:spacing w:line="360" w:lineRule="auto"/>
              <w:rPr>
                <w:rFonts w:ascii="宋体" w:hAnsi="宋体" w:cs="宋体"/>
                <w:sz w:val="20"/>
                <w:szCs w:val="20"/>
                <w:highlight w:val="none"/>
              </w:rPr>
            </w:pPr>
            <w:r>
              <w:rPr>
                <w:rFonts w:hint="eastAsia" w:ascii="宋体" w:hAnsi="宋体" w:cs="宋体"/>
                <w:sz w:val="20"/>
                <w:szCs w:val="20"/>
                <w:highlight w:val="none"/>
              </w:rPr>
              <w:t>3、商务规范书、技术规范书中标“★或*”为实质性条款，不满足的应答均将被否决。</w:t>
            </w:r>
          </w:p>
          <w:p w14:paraId="2931D4AA">
            <w:pPr>
              <w:autoSpaceDE w:val="0"/>
              <w:autoSpaceDN w:val="0"/>
              <w:snapToGrid w:val="0"/>
              <w:spacing w:line="360" w:lineRule="auto"/>
              <w:rPr>
                <w:rFonts w:ascii="宋体" w:hAnsi="宋体" w:cs="宋体"/>
                <w:sz w:val="20"/>
                <w:szCs w:val="20"/>
                <w:highlight w:val="none"/>
              </w:rPr>
            </w:pPr>
            <w:r>
              <w:rPr>
                <w:rFonts w:hint="eastAsia" w:ascii="宋体" w:hAnsi="宋体" w:cs="宋体"/>
                <w:sz w:val="20"/>
                <w:szCs w:val="20"/>
                <w:highlight w:val="none"/>
              </w:rPr>
              <w:t>4、各应答人应保证所提供材料的真实合法性，我公司保留对相关材料进一步核查的权利。对于应答人弄虚作假的行为，依据《</w:t>
            </w:r>
            <w:r>
              <w:rPr>
                <w:rFonts w:hint="eastAsia" w:ascii="宋体" w:hAnsi="宋体" w:cs="宋体"/>
                <w:sz w:val="20"/>
                <w:szCs w:val="20"/>
                <w:highlight w:val="none"/>
                <w:lang w:val="en-US" w:eastAsia="zh-CN"/>
              </w:rPr>
              <w:t>扬州北辰电气集团有限公司供应商管理办法</w:t>
            </w:r>
            <w:r>
              <w:rPr>
                <w:rFonts w:hint="eastAsia" w:ascii="宋体" w:hAnsi="宋体" w:cs="宋体"/>
                <w:sz w:val="20"/>
                <w:szCs w:val="20"/>
                <w:highlight w:val="none"/>
              </w:rPr>
              <w:t xml:space="preserve">》处理。  </w:t>
            </w:r>
          </w:p>
        </w:tc>
      </w:tr>
      <w:tr w14:paraId="0551AC3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926" w:type="dxa"/>
            <w:vAlign w:val="center"/>
          </w:tcPr>
          <w:p w14:paraId="46C656B6">
            <w:pPr>
              <w:autoSpaceDE w:val="0"/>
              <w:autoSpaceDN w:val="0"/>
              <w:snapToGrid w:val="0"/>
              <w:spacing w:line="360" w:lineRule="auto"/>
              <w:rPr>
                <w:rFonts w:ascii="宋体" w:hAnsi="宋体" w:cs="宋体"/>
                <w:color w:val="000000"/>
                <w:sz w:val="20"/>
                <w:szCs w:val="20"/>
              </w:rPr>
            </w:pPr>
            <w:r>
              <w:rPr>
                <w:rFonts w:hint="eastAsia" w:ascii="宋体" w:hAnsi="宋体" w:cs="宋体"/>
                <w:color w:val="000000"/>
                <w:sz w:val="20"/>
                <w:szCs w:val="20"/>
              </w:rPr>
              <w:t>2.35</w:t>
            </w:r>
          </w:p>
        </w:tc>
        <w:tc>
          <w:tcPr>
            <w:tcW w:w="1635" w:type="dxa"/>
            <w:vAlign w:val="center"/>
          </w:tcPr>
          <w:p w14:paraId="3CBC766A">
            <w:pPr>
              <w:autoSpaceDE w:val="0"/>
              <w:autoSpaceDN w:val="0"/>
              <w:snapToGrid w:val="0"/>
              <w:spacing w:line="360" w:lineRule="auto"/>
              <w:rPr>
                <w:rFonts w:ascii="宋体" w:hAnsi="宋体" w:cs="宋体"/>
                <w:sz w:val="20"/>
                <w:szCs w:val="20"/>
              </w:rPr>
            </w:pPr>
            <w:r>
              <w:rPr>
                <w:rFonts w:hint="eastAsia" w:ascii="宋体" w:hAnsi="宋体" w:cs="宋体"/>
                <w:b/>
                <w:bCs/>
                <w:sz w:val="20"/>
                <w:szCs w:val="20"/>
              </w:rPr>
              <w:t>招标文件实质性要求的标识及非实质性要求的偏离要求</w:t>
            </w:r>
          </w:p>
        </w:tc>
        <w:tc>
          <w:tcPr>
            <w:tcW w:w="5950" w:type="dxa"/>
            <w:vAlign w:val="center"/>
          </w:tcPr>
          <w:p w14:paraId="3251B1D2">
            <w:pPr>
              <w:autoSpaceDE w:val="0"/>
              <w:autoSpaceDN w:val="0"/>
              <w:snapToGrid w:val="0"/>
              <w:spacing w:line="360" w:lineRule="auto"/>
              <w:rPr>
                <w:rFonts w:ascii="宋体" w:hAnsi="宋体" w:cs="宋体"/>
                <w:b/>
                <w:bCs/>
                <w:color w:val="FF0000"/>
                <w:sz w:val="20"/>
                <w:szCs w:val="20"/>
              </w:rPr>
            </w:pPr>
            <w:r>
              <w:rPr>
                <w:rFonts w:hint="eastAsia" w:ascii="宋体" w:hAnsi="宋体" w:cs="宋体"/>
                <w:b/>
                <w:bCs/>
                <w:color w:val="FF0000"/>
                <w:sz w:val="20"/>
                <w:szCs w:val="20"/>
              </w:rPr>
              <w:t>（1）★招标文件中标识“</w:t>
            </w:r>
            <w:r>
              <w:rPr>
                <w:rFonts w:hint="eastAsia" w:ascii="宋体" w:hAnsi="宋体" w:cs="宋体"/>
                <w:b/>
                <w:bCs/>
                <w:color w:val="FF0000"/>
                <w:sz w:val="20"/>
                <w:szCs w:val="20"/>
                <w:u w:val="single"/>
              </w:rPr>
              <w:t>★（或*）</w:t>
            </w:r>
            <w:r>
              <w:rPr>
                <w:rFonts w:hint="eastAsia" w:ascii="宋体" w:hAnsi="宋体" w:cs="宋体"/>
                <w:b/>
                <w:bCs/>
                <w:color w:val="FF0000"/>
                <w:sz w:val="20"/>
                <w:szCs w:val="20"/>
              </w:rPr>
              <w:t>”的条款，均为实质性条款，应答人任何不满足实质性条款的应答均将被否决。（技术偏离表及商务偏离表中的非实质性条款允许偏离，不作为评审否决项。）</w:t>
            </w:r>
          </w:p>
          <w:p w14:paraId="502C6183">
            <w:pPr>
              <w:autoSpaceDE w:val="0"/>
              <w:autoSpaceDN w:val="0"/>
              <w:snapToGrid w:val="0"/>
              <w:spacing w:line="360" w:lineRule="auto"/>
              <w:rPr>
                <w:rFonts w:ascii="宋体" w:hAnsi="宋体" w:cs="宋体"/>
                <w:sz w:val="20"/>
                <w:szCs w:val="20"/>
              </w:rPr>
            </w:pPr>
            <w:r>
              <w:rPr>
                <w:rFonts w:hint="eastAsia" w:ascii="宋体" w:hAnsi="宋体" w:cs="宋体"/>
                <w:sz w:val="20"/>
                <w:szCs w:val="20"/>
              </w:rPr>
              <w:t>（2）非实质性要求的偏离要求：</w:t>
            </w:r>
            <w:r>
              <w:rPr>
                <w:rFonts w:hint="eastAsia" w:ascii="宋体" w:hAnsi="宋体" w:cs="宋体"/>
                <w:sz w:val="20"/>
                <w:szCs w:val="20"/>
                <w:u w:val="single"/>
              </w:rPr>
              <w:t xml:space="preserve"> 无 </w:t>
            </w:r>
            <w:r>
              <w:rPr>
                <w:rFonts w:hint="eastAsia" w:ascii="宋体" w:hAnsi="宋体" w:cs="宋体"/>
                <w:sz w:val="20"/>
                <w:szCs w:val="20"/>
              </w:rPr>
              <w:t>。</w:t>
            </w:r>
          </w:p>
        </w:tc>
      </w:tr>
      <w:tr w14:paraId="03BF3F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926" w:type="dxa"/>
            <w:vMerge w:val="restart"/>
            <w:vAlign w:val="center"/>
          </w:tcPr>
          <w:p w14:paraId="643A7EF4">
            <w:pPr>
              <w:autoSpaceDE w:val="0"/>
              <w:autoSpaceDN w:val="0"/>
              <w:adjustRightInd w:val="0"/>
              <w:snapToGrid w:val="0"/>
              <w:spacing w:line="360" w:lineRule="auto"/>
              <w:jc w:val="center"/>
              <w:rPr>
                <w:rFonts w:ascii="宋体" w:hAnsi="宋体" w:cs="宋体"/>
                <w:color w:val="000000"/>
                <w:sz w:val="20"/>
                <w:szCs w:val="20"/>
              </w:rPr>
            </w:pPr>
            <w:r>
              <w:rPr>
                <w:rFonts w:hint="eastAsia" w:ascii="宋体" w:hAnsi="宋体" w:cs="宋体"/>
                <w:color w:val="000000"/>
                <w:sz w:val="20"/>
                <w:szCs w:val="20"/>
              </w:rPr>
              <w:t>其他</w:t>
            </w:r>
          </w:p>
        </w:tc>
        <w:tc>
          <w:tcPr>
            <w:tcW w:w="1635" w:type="dxa"/>
            <w:vAlign w:val="center"/>
          </w:tcPr>
          <w:p w14:paraId="11F8D523">
            <w:pPr>
              <w:autoSpaceDE w:val="0"/>
              <w:autoSpaceDN w:val="0"/>
              <w:adjustRightInd w:val="0"/>
              <w:snapToGrid w:val="0"/>
              <w:spacing w:line="360" w:lineRule="auto"/>
              <w:rPr>
                <w:rFonts w:ascii="宋体" w:hAnsi="宋体" w:cs="宋体"/>
                <w:sz w:val="20"/>
                <w:szCs w:val="20"/>
              </w:rPr>
            </w:pPr>
            <w:r>
              <w:rPr>
                <w:rFonts w:hint="eastAsia" w:ascii="宋体" w:hAnsi="宋体" w:cs="宋体"/>
                <w:sz w:val="20"/>
                <w:szCs w:val="20"/>
              </w:rPr>
              <w:t>供应商负面行为处理规则</w:t>
            </w:r>
          </w:p>
        </w:tc>
        <w:tc>
          <w:tcPr>
            <w:tcW w:w="5950" w:type="dxa"/>
            <w:vAlign w:val="center"/>
          </w:tcPr>
          <w:p w14:paraId="0DDEA953">
            <w:pPr>
              <w:autoSpaceDE w:val="0"/>
              <w:autoSpaceDN w:val="0"/>
              <w:adjustRightInd w:val="0"/>
              <w:snapToGrid w:val="0"/>
              <w:spacing w:line="360" w:lineRule="auto"/>
              <w:rPr>
                <w:rFonts w:ascii="宋体" w:hAnsi="宋体" w:cs="宋体"/>
                <w:sz w:val="20"/>
                <w:szCs w:val="20"/>
                <w:highlight w:val="none"/>
              </w:rPr>
            </w:pPr>
            <w:r>
              <w:rPr>
                <w:rFonts w:hint="eastAsia" w:ascii="宋体" w:hAnsi="宋体" w:cs="宋体"/>
                <w:sz w:val="20"/>
                <w:szCs w:val="20"/>
                <w:highlight w:val="none"/>
              </w:rPr>
              <w:t>如合作伙伴发生负面行为，根据《</w:t>
            </w:r>
            <w:r>
              <w:rPr>
                <w:rFonts w:hint="eastAsia" w:ascii="宋体" w:hAnsi="宋体" w:cs="宋体"/>
                <w:sz w:val="20"/>
                <w:szCs w:val="20"/>
                <w:highlight w:val="none"/>
                <w:lang w:val="en-US" w:eastAsia="zh-CN"/>
              </w:rPr>
              <w:t>扬州北辰电气集团有限公司供应商管理办法</w:t>
            </w:r>
            <w:r>
              <w:rPr>
                <w:rFonts w:hint="eastAsia" w:ascii="宋体" w:hAnsi="宋体" w:cs="宋体"/>
                <w:sz w:val="20"/>
                <w:szCs w:val="20"/>
                <w:highlight w:val="none"/>
              </w:rPr>
              <w:t>》的相关要求进行处理。</w:t>
            </w:r>
          </w:p>
        </w:tc>
      </w:tr>
      <w:tr w14:paraId="619BD4E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926" w:type="dxa"/>
            <w:vMerge w:val="continue"/>
            <w:vAlign w:val="center"/>
          </w:tcPr>
          <w:p w14:paraId="7FE9E75F">
            <w:pPr>
              <w:autoSpaceDE w:val="0"/>
              <w:autoSpaceDN w:val="0"/>
              <w:adjustRightInd w:val="0"/>
              <w:snapToGrid w:val="0"/>
              <w:spacing w:line="360" w:lineRule="auto"/>
              <w:jc w:val="center"/>
              <w:rPr>
                <w:rFonts w:ascii="宋体" w:hAnsi="宋体" w:cs="宋体"/>
                <w:color w:val="000000"/>
                <w:sz w:val="20"/>
                <w:szCs w:val="20"/>
              </w:rPr>
            </w:pPr>
          </w:p>
        </w:tc>
        <w:tc>
          <w:tcPr>
            <w:tcW w:w="1635" w:type="dxa"/>
            <w:vAlign w:val="center"/>
          </w:tcPr>
          <w:p w14:paraId="73E1F08D">
            <w:pPr>
              <w:autoSpaceDE w:val="0"/>
              <w:autoSpaceDN w:val="0"/>
              <w:adjustRightInd w:val="0"/>
              <w:snapToGrid w:val="0"/>
              <w:spacing w:line="360" w:lineRule="auto"/>
              <w:rPr>
                <w:rFonts w:ascii="宋体" w:hAnsi="宋体" w:cs="宋体"/>
                <w:sz w:val="20"/>
                <w:szCs w:val="20"/>
              </w:rPr>
            </w:pPr>
            <w:r>
              <w:rPr>
                <w:rFonts w:hint="eastAsia" w:ascii="宋体" w:hAnsi="宋体" w:cs="宋体"/>
                <w:sz w:val="20"/>
                <w:szCs w:val="20"/>
              </w:rPr>
              <w:t>串通应答行为认定处理规则</w:t>
            </w:r>
          </w:p>
        </w:tc>
        <w:tc>
          <w:tcPr>
            <w:tcW w:w="5950" w:type="dxa"/>
            <w:vAlign w:val="center"/>
          </w:tcPr>
          <w:p w14:paraId="15F08775">
            <w:pPr>
              <w:autoSpaceDE w:val="0"/>
              <w:autoSpaceDN w:val="0"/>
              <w:ind w:right="105" w:rightChars="50"/>
              <w:jc w:val="left"/>
              <w:rPr>
                <w:rFonts w:ascii="宋体" w:hAnsi="宋体" w:cs="宋体"/>
                <w:sz w:val="20"/>
                <w:szCs w:val="20"/>
              </w:rPr>
            </w:pPr>
            <w:r>
              <w:rPr>
                <w:rFonts w:hint="eastAsia"/>
                <w:sz w:val="20"/>
              </w:rPr>
              <w:t>★应答人承诺遵守</w:t>
            </w:r>
            <w:r>
              <w:rPr>
                <w:rFonts w:hint="eastAsia" w:ascii="宋体" w:hAnsi="宋体"/>
                <w:szCs w:val="21"/>
              </w:rPr>
              <w:t>扬州北辰电气集团有限公司</w:t>
            </w:r>
            <w:r>
              <w:rPr>
                <w:rFonts w:hint="eastAsia" w:ascii="宋体" w:hAnsi="宋体"/>
                <w:szCs w:val="21"/>
                <w:lang w:val="en-US" w:eastAsia="zh-CN"/>
              </w:rPr>
              <w:t>发布的</w:t>
            </w:r>
            <w:r>
              <w:rPr>
                <w:rFonts w:hint="eastAsia"/>
                <w:sz w:val="20"/>
              </w:rPr>
              <w:t>《扬州北辰电气集团有限公司</w:t>
            </w:r>
            <w:r>
              <w:rPr>
                <w:rFonts w:hint="eastAsia"/>
                <w:sz w:val="20"/>
                <w:lang w:val="en-US" w:eastAsia="zh-CN"/>
              </w:rPr>
              <w:t>供应商管理办法</w:t>
            </w:r>
            <w:r>
              <w:rPr>
                <w:rFonts w:hint="eastAsia"/>
                <w:sz w:val="20"/>
              </w:rPr>
              <w:t>》）认定处理规则）</w:t>
            </w:r>
            <w:r>
              <w:rPr>
                <w:rFonts w:hint="eastAsia"/>
                <w:sz w:val="20"/>
                <w:szCs w:val="21"/>
              </w:rPr>
              <w:t>。</w:t>
            </w:r>
          </w:p>
        </w:tc>
      </w:tr>
      <w:tr w14:paraId="08AE0CD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69" w:hRule="atLeast"/>
          <w:jc w:val="center"/>
        </w:trPr>
        <w:tc>
          <w:tcPr>
            <w:tcW w:w="926" w:type="dxa"/>
            <w:vMerge w:val="continue"/>
            <w:vAlign w:val="center"/>
          </w:tcPr>
          <w:p w14:paraId="644B09B0">
            <w:pPr>
              <w:snapToGrid w:val="0"/>
              <w:spacing w:line="360" w:lineRule="auto"/>
              <w:rPr>
                <w:rFonts w:ascii="宋体" w:hAnsi="宋体" w:cs="宋体"/>
                <w:color w:val="000000"/>
                <w:sz w:val="20"/>
                <w:szCs w:val="20"/>
              </w:rPr>
            </w:pPr>
          </w:p>
        </w:tc>
        <w:tc>
          <w:tcPr>
            <w:tcW w:w="1635" w:type="dxa"/>
            <w:vAlign w:val="center"/>
          </w:tcPr>
          <w:p w14:paraId="1E58999E">
            <w:pPr>
              <w:autoSpaceDE w:val="0"/>
              <w:autoSpaceDN w:val="0"/>
              <w:snapToGrid w:val="0"/>
              <w:spacing w:line="360" w:lineRule="auto"/>
              <w:jc w:val="left"/>
              <w:rPr>
                <w:rFonts w:ascii="宋体" w:hAnsi="宋体" w:cs="宋体"/>
                <w:sz w:val="20"/>
                <w:szCs w:val="20"/>
              </w:rPr>
            </w:pPr>
            <w:r>
              <w:rPr>
                <w:rFonts w:hint="eastAsia" w:ascii="宋体" w:hAnsi="宋体" w:cs="宋体"/>
                <w:sz w:val="20"/>
                <w:szCs w:val="20"/>
              </w:rPr>
              <w:t>再次谈判</w:t>
            </w:r>
          </w:p>
        </w:tc>
        <w:tc>
          <w:tcPr>
            <w:tcW w:w="5950" w:type="dxa"/>
            <w:vAlign w:val="center"/>
          </w:tcPr>
          <w:p w14:paraId="528C40F2">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招标人经分析满足下列条件之一的可进行再次谈判：</w:t>
            </w:r>
          </w:p>
          <w:p w14:paraId="16DD331F">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1．招标人掌握一定依据认为中选人报价高出市场价；</w:t>
            </w:r>
          </w:p>
          <w:p w14:paraId="459FCB85">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2．成交价格仍然高出项目预算的；</w:t>
            </w:r>
          </w:p>
          <w:p w14:paraId="171C1FA7">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3．以降低成本、提高效益为目的要求对价格、付款条件、交付时间等内容进行谈判的。</w:t>
            </w:r>
          </w:p>
          <w:p w14:paraId="63E51FE4">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实施谈判时应遵循以下原则：</w:t>
            </w:r>
          </w:p>
          <w:p w14:paraId="7FDB749E">
            <w:pPr>
              <w:autoSpaceDE w:val="0"/>
              <w:autoSpaceDN w:val="0"/>
              <w:snapToGrid w:val="0"/>
              <w:spacing w:line="360" w:lineRule="auto"/>
              <w:ind w:right="105" w:rightChars="50"/>
              <w:rPr>
                <w:rFonts w:ascii="宋体" w:hAnsi="宋体" w:cs="宋体"/>
                <w:color w:val="000000"/>
                <w:sz w:val="20"/>
                <w:szCs w:val="20"/>
              </w:rPr>
            </w:pPr>
            <w:r>
              <w:rPr>
                <w:rFonts w:hint="eastAsia" w:ascii="宋体" w:hAnsi="宋体" w:cs="宋体"/>
                <w:color w:val="000000"/>
                <w:sz w:val="20"/>
                <w:szCs w:val="20"/>
              </w:rPr>
              <w:t>1.</w:t>
            </w:r>
            <w:r>
              <w:rPr>
                <w:rFonts w:hint="eastAsia" w:ascii="宋体" w:hAnsi="宋体" w:cs="宋体"/>
                <w:sz w:val="20"/>
                <w:szCs w:val="20"/>
              </w:rPr>
              <w:t xml:space="preserve"> </w:t>
            </w:r>
            <w:r>
              <w:rPr>
                <w:rFonts w:hint="eastAsia" w:ascii="宋体" w:hAnsi="宋体" w:cs="宋体"/>
                <w:color w:val="000000"/>
                <w:sz w:val="20"/>
                <w:szCs w:val="20"/>
              </w:rPr>
              <w:t>谈判对象不能超出评审委员会推荐的成交供应商候选人范围；</w:t>
            </w:r>
          </w:p>
          <w:p w14:paraId="7C8E830A">
            <w:pPr>
              <w:autoSpaceDE w:val="0"/>
              <w:autoSpaceDN w:val="0"/>
              <w:snapToGrid w:val="0"/>
              <w:spacing w:line="360" w:lineRule="auto"/>
              <w:ind w:right="105" w:rightChars="50"/>
              <w:rPr>
                <w:rFonts w:ascii="宋体" w:hAnsi="宋体" w:cs="宋体"/>
                <w:sz w:val="20"/>
                <w:szCs w:val="20"/>
              </w:rPr>
            </w:pPr>
            <w:r>
              <w:rPr>
                <w:rFonts w:hint="eastAsia" w:ascii="宋体" w:hAnsi="宋体" w:cs="宋体"/>
                <w:color w:val="000000"/>
                <w:sz w:val="20"/>
                <w:szCs w:val="20"/>
              </w:rPr>
              <w:t>2.</w:t>
            </w:r>
            <w:r>
              <w:rPr>
                <w:rFonts w:hint="eastAsia" w:ascii="宋体" w:hAnsi="宋体" w:cs="宋体"/>
                <w:sz w:val="20"/>
                <w:szCs w:val="20"/>
              </w:rPr>
              <w:t xml:space="preserve"> </w:t>
            </w:r>
            <w:r>
              <w:rPr>
                <w:rFonts w:hint="eastAsia" w:ascii="宋体" w:hAnsi="宋体" w:cs="宋体"/>
                <w:color w:val="000000"/>
                <w:sz w:val="20"/>
                <w:szCs w:val="20"/>
              </w:rPr>
              <w:t>谈判内容不得超出、改变项目原技术要求。</w:t>
            </w:r>
          </w:p>
        </w:tc>
      </w:tr>
      <w:tr w14:paraId="5310FE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189" w:hRule="atLeast"/>
          <w:jc w:val="center"/>
        </w:trPr>
        <w:tc>
          <w:tcPr>
            <w:tcW w:w="8511" w:type="dxa"/>
            <w:gridSpan w:val="3"/>
            <w:vAlign w:val="center"/>
          </w:tcPr>
          <w:p w14:paraId="488F1EBB">
            <w:pPr>
              <w:autoSpaceDE w:val="0"/>
              <w:autoSpaceDN w:val="0"/>
              <w:adjustRightInd w:val="0"/>
              <w:snapToGrid w:val="0"/>
              <w:spacing w:line="360" w:lineRule="auto"/>
              <w:rPr>
                <w:rFonts w:ascii="宋体" w:hAnsi="宋体" w:cs="宋体"/>
                <w:sz w:val="20"/>
                <w:szCs w:val="20"/>
              </w:rPr>
            </w:pPr>
            <w:r>
              <w:rPr>
                <w:rFonts w:hint="eastAsia" w:ascii="宋体" w:hAnsi="宋体" w:cs="宋体"/>
                <w:color w:val="000000"/>
                <w:sz w:val="20"/>
                <w:szCs w:val="20"/>
              </w:rPr>
              <w:t>注:以上内容可按实际情况增加或减少</w:t>
            </w:r>
          </w:p>
        </w:tc>
      </w:tr>
    </w:tbl>
    <w:p w14:paraId="372174D3">
      <w:pPr>
        <w:rPr>
          <w:rFonts w:ascii="宋体" w:hAnsi="宋体"/>
          <w:szCs w:val="21"/>
        </w:rPr>
      </w:pPr>
      <w:r>
        <w:rPr>
          <w:rFonts w:hint="eastAsia" w:ascii="宋体" w:hAnsi="宋体"/>
          <w:szCs w:val="21"/>
        </w:rPr>
        <w:br w:type="page"/>
      </w:r>
    </w:p>
    <w:p w14:paraId="47C74E42">
      <w:pPr>
        <w:pStyle w:val="7"/>
        <w:adjustRightInd w:val="0"/>
        <w:snapToGrid w:val="0"/>
        <w:spacing w:line="360" w:lineRule="auto"/>
        <w:rPr>
          <w:rFonts w:ascii="宋体" w:hAnsi="宋体" w:eastAsia="宋体"/>
          <w:sz w:val="21"/>
          <w:szCs w:val="21"/>
        </w:rPr>
      </w:pPr>
      <w:bookmarkStart w:id="12" w:name="_Toc226969278"/>
      <w:bookmarkStart w:id="13" w:name="_Toc105770497"/>
      <w:bookmarkStart w:id="14" w:name="_Toc29278"/>
      <w:bookmarkStart w:id="15" w:name="_Toc227057885"/>
      <w:bookmarkStart w:id="16" w:name="_Toc107822484"/>
      <w:bookmarkStart w:id="17" w:name="_Toc488655831"/>
      <w:r>
        <w:rPr>
          <w:rFonts w:hint="eastAsia" w:ascii="宋体" w:hAnsi="宋体" w:eastAsia="宋体"/>
          <w:sz w:val="21"/>
          <w:szCs w:val="21"/>
        </w:rPr>
        <w:t>招标人及项目名称</w:t>
      </w:r>
      <w:bookmarkEnd w:id="12"/>
      <w:bookmarkEnd w:id="13"/>
      <w:bookmarkEnd w:id="14"/>
      <w:bookmarkEnd w:id="15"/>
    </w:p>
    <w:p w14:paraId="1D233F36">
      <w:pPr>
        <w:pStyle w:val="69"/>
        <w:snapToGrid w:val="0"/>
        <w:spacing w:line="360" w:lineRule="auto"/>
      </w:pPr>
      <w:r>
        <w:rPr>
          <w:rFonts w:hint="eastAsia"/>
        </w:rPr>
        <w:t>招标人名称：见应答人须知前附表。</w:t>
      </w:r>
    </w:p>
    <w:p w14:paraId="6BFA4BC0">
      <w:pPr>
        <w:pStyle w:val="9"/>
        <w:numPr>
          <w:ilvl w:val="0"/>
          <w:numId w:val="3"/>
        </w:numPr>
        <w:snapToGrid w:val="0"/>
        <w:spacing w:line="360" w:lineRule="auto"/>
        <w:rPr>
          <w:rFonts w:ascii="宋体" w:hAnsi="宋体" w:eastAsia="宋体"/>
          <w:color w:val="000000"/>
          <w:sz w:val="21"/>
          <w:szCs w:val="21"/>
        </w:rPr>
      </w:pPr>
      <w:r>
        <w:rPr>
          <w:rFonts w:hint="eastAsia" w:ascii="宋体" w:hAnsi="宋体" w:eastAsia="宋体"/>
          <w:color w:val="000000"/>
          <w:sz w:val="21"/>
          <w:szCs w:val="21"/>
        </w:rPr>
        <w:t>项目名称：见应答人须知前附表。</w:t>
      </w:r>
    </w:p>
    <w:p w14:paraId="4E7BC325">
      <w:pPr>
        <w:pStyle w:val="7"/>
        <w:adjustRightInd w:val="0"/>
        <w:snapToGrid w:val="0"/>
        <w:spacing w:line="360" w:lineRule="auto"/>
        <w:rPr>
          <w:rFonts w:ascii="宋体" w:hAnsi="宋体" w:eastAsia="宋体"/>
          <w:sz w:val="21"/>
          <w:szCs w:val="21"/>
        </w:rPr>
      </w:pPr>
      <w:bookmarkStart w:id="18" w:name="_Toc226969279"/>
      <w:bookmarkStart w:id="19" w:name="_Toc105770498"/>
      <w:bookmarkStart w:id="20" w:name="_Toc227057886"/>
      <w:bookmarkStart w:id="21" w:name="_Toc17880"/>
      <w:r>
        <w:rPr>
          <w:rFonts w:hint="eastAsia" w:ascii="宋体" w:hAnsi="宋体" w:eastAsia="宋体"/>
          <w:sz w:val="21"/>
          <w:szCs w:val="21"/>
        </w:rPr>
        <w:t>项目的确定</w:t>
      </w:r>
      <w:bookmarkEnd w:id="16"/>
      <w:bookmarkEnd w:id="18"/>
      <w:bookmarkEnd w:id="19"/>
      <w:bookmarkEnd w:id="20"/>
      <w:r>
        <w:rPr>
          <w:rFonts w:hint="eastAsia" w:ascii="宋体" w:hAnsi="宋体" w:eastAsia="宋体"/>
          <w:sz w:val="21"/>
          <w:szCs w:val="21"/>
        </w:rPr>
        <w:t>和资金来源</w:t>
      </w:r>
      <w:bookmarkEnd w:id="21"/>
    </w:p>
    <w:p w14:paraId="03EBF857">
      <w:pPr>
        <w:adjustRightInd w:val="0"/>
        <w:snapToGrid w:val="0"/>
        <w:spacing w:after="120" w:line="360" w:lineRule="auto"/>
        <w:ind w:firstLine="420" w:firstLineChars="200"/>
        <w:rPr>
          <w:rFonts w:ascii="宋体" w:hAnsi="宋体"/>
          <w:color w:val="000000"/>
          <w:szCs w:val="21"/>
        </w:rPr>
      </w:pPr>
      <w:r>
        <w:rPr>
          <w:rFonts w:hint="eastAsia" w:ascii="宋体" w:hAnsi="宋体"/>
          <w:color w:val="000000"/>
          <w:szCs w:val="21"/>
        </w:rPr>
        <w:t>招标人的本次招标项目已经批准，资金已落实</w:t>
      </w:r>
      <w:r>
        <w:rPr>
          <w:rFonts w:ascii="宋体" w:hAnsi="宋体"/>
          <w:color w:val="000000"/>
          <w:szCs w:val="21"/>
        </w:rPr>
        <w:t>。</w:t>
      </w:r>
    </w:p>
    <w:p w14:paraId="2C5F8C8E">
      <w:pPr>
        <w:pStyle w:val="7"/>
        <w:adjustRightInd w:val="0"/>
        <w:snapToGrid w:val="0"/>
        <w:spacing w:line="360" w:lineRule="auto"/>
        <w:rPr>
          <w:rFonts w:ascii="宋体" w:hAnsi="宋体" w:eastAsia="宋体"/>
          <w:sz w:val="21"/>
          <w:szCs w:val="21"/>
        </w:rPr>
      </w:pPr>
      <w:bookmarkStart w:id="22" w:name="_Toc226969280"/>
      <w:bookmarkStart w:id="23" w:name="_Toc17289"/>
      <w:bookmarkStart w:id="24" w:name="_Toc107822485"/>
      <w:bookmarkStart w:id="25" w:name="_Toc105770499"/>
      <w:bookmarkStart w:id="26" w:name="_Toc227057887"/>
      <w:r>
        <w:rPr>
          <w:rFonts w:hint="eastAsia" w:ascii="宋体" w:hAnsi="宋体" w:eastAsia="宋体"/>
          <w:sz w:val="21"/>
          <w:szCs w:val="21"/>
        </w:rPr>
        <w:t>招标</w:t>
      </w:r>
      <w:r>
        <w:rPr>
          <w:rFonts w:ascii="宋体" w:hAnsi="宋体" w:eastAsia="宋体"/>
          <w:sz w:val="21"/>
          <w:szCs w:val="21"/>
        </w:rPr>
        <w:t>的组织形式</w:t>
      </w:r>
      <w:bookmarkEnd w:id="22"/>
      <w:bookmarkEnd w:id="23"/>
      <w:bookmarkEnd w:id="24"/>
      <w:bookmarkEnd w:id="25"/>
      <w:bookmarkEnd w:id="26"/>
    </w:p>
    <w:p w14:paraId="42717DC8">
      <w:pPr>
        <w:adjustRightInd w:val="0"/>
        <w:snapToGrid w:val="0"/>
        <w:spacing w:after="120" w:line="360" w:lineRule="auto"/>
        <w:ind w:firstLine="420" w:firstLineChars="200"/>
        <w:rPr>
          <w:rFonts w:ascii="宋体" w:hAnsi="宋体"/>
          <w:color w:val="000000"/>
          <w:szCs w:val="21"/>
        </w:rPr>
      </w:pPr>
      <w:r>
        <w:rPr>
          <w:rFonts w:hint="eastAsia" w:ascii="宋体" w:hAnsi="宋体"/>
          <w:color w:val="000000"/>
          <w:szCs w:val="21"/>
        </w:rPr>
        <w:t>本次招标由招标人自行组织/委托招标</w:t>
      </w:r>
      <w:r>
        <w:rPr>
          <w:rFonts w:ascii="宋体" w:hAnsi="宋体"/>
          <w:color w:val="000000"/>
          <w:szCs w:val="21"/>
        </w:rPr>
        <w:t>机构</w:t>
      </w:r>
      <w:r>
        <w:rPr>
          <w:rFonts w:hint="eastAsia" w:ascii="宋体" w:hAnsi="宋体"/>
          <w:color w:val="000000"/>
          <w:szCs w:val="21"/>
        </w:rPr>
        <w:t>采用代理招标的方式进行。</w:t>
      </w:r>
    </w:p>
    <w:p w14:paraId="4846A091">
      <w:pPr>
        <w:pStyle w:val="7"/>
        <w:adjustRightInd w:val="0"/>
        <w:snapToGrid w:val="0"/>
        <w:spacing w:line="360" w:lineRule="auto"/>
        <w:rPr>
          <w:rFonts w:ascii="宋体" w:hAnsi="宋体" w:eastAsia="宋体"/>
          <w:sz w:val="21"/>
          <w:szCs w:val="21"/>
        </w:rPr>
      </w:pPr>
      <w:bookmarkStart w:id="27" w:name="_Toc105770500"/>
      <w:bookmarkStart w:id="28" w:name="_Toc107822486"/>
      <w:bookmarkStart w:id="29" w:name="_Toc6349"/>
      <w:bookmarkStart w:id="30" w:name="_Toc227057888"/>
      <w:bookmarkStart w:id="31" w:name="_Toc226969281"/>
      <w:r>
        <w:rPr>
          <w:rFonts w:hint="eastAsia" w:ascii="宋体" w:hAnsi="宋体" w:eastAsia="宋体"/>
          <w:sz w:val="21"/>
          <w:szCs w:val="21"/>
        </w:rPr>
        <w:t>招标</w:t>
      </w:r>
      <w:r>
        <w:rPr>
          <w:rFonts w:ascii="宋体" w:hAnsi="宋体" w:eastAsia="宋体"/>
          <w:sz w:val="21"/>
          <w:szCs w:val="21"/>
        </w:rPr>
        <w:t>方式</w:t>
      </w:r>
      <w:bookmarkEnd w:id="27"/>
      <w:bookmarkEnd w:id="28"/>
      <w:bookmarkEnd w:id="29"/>
      <w:bookmarkEnd w:id="30"/>
      <w:bookmarkEnd w:id="31"/>
    </w:p>
    <w:p w14:paraId="0AC15D41">
      <w:pPr>
        <w:adjustRightInd w:val="0"/>
        <w:snapToGrid w:val="0"/>
        <w:spacing w:after="120" w:line="360" w:lineRule="auto"/>
        <w:rPr>
          <w:rFonts w:ascii="宋体" w:hAnsi="宋体"/>
          <w:color w:val="000000"/>
          <w:szCs w:val="21"/>
        </w:rPr>
      </w:pPr>
      <w:r>
        <w:rPr>
          <w:rFonts w:ascii="宋体" w:hAnsi="宋体"/>
          <w:color w:val="000000"/>
          <w:szCs w:val="21"/>
        </w:rPr>
        <w:t>2.4</w:t>
      </w:r>
      <w:r>
        <w:rPr>
          <w:rFonts w:hint="eastAsia" w:ascii="宋体" w:hAnsi="宋体"/>
          <w:color w:val="000000"/>
          <w:szCs w:val="21"/>
        </w:rPr>
        <w:t>.1招标方式见应答人须知前附表。</w:t>
      </w:r>
    </w:p>
    <w:p w14:paraId="6082B67D">
      <w:pPr>
        <w:adjustRightInd w:val="0"/>
        <w:snapToGrid w:val="0"/>
        <w:spacing w:after="120" w:line="360" w:lineRule="auto"/>
        <w:rPr>
          <w:rFonts w:ascii="宋体" w:hAnsi="宋体"/>
          <w:color w:val="000000"/>
          <w:szCs w:val="21"/>
        </w:rPr>
      </w:pPr>
      <w:r>
        <w:rPr>
          <w:rFonts w:ascii="宋体" w:hAnsi="宋体"/>
          <w:color w:val="000000"/>
          <w:szCs w:val="21"/>
        </w:rPr>
        <w:t>2.4.2</w:t>
      </w:r>
      <w:r>
        <w:rPr>
          <w:rFonts w:hint="eastAsia" w:ascii="宋体" w:hAnsi="宋体"/>
          <w:color w:val="000000"/>
          <w:szCs w:val="21"/>
        </w:rPr>
        <w:t>竞争性招标是指招标人以招标邀请的方式邀请不特定的法人或者其他组织应答。</w:t>
      </w:r>
    </w:p>
    <w:p w14:paraId="5B2423E5">
      <w:pPr>
        <w:adjustRightInd w:val="0"/>
        <w:snapToGrid w:val="0"/>
        <w:spacing w:after="120" w:line="360" w:lineRule="auto"/>
        <w:rPr>
          <w:rFonts w:ascii="宋体" w:hAnsi="宋体"/>
          <w:color w:val="000000"/>
          <w:szCs w:val="21"/>
        </w:rPr>
      </w:pPr>
      <w:r>
        <w:rPr>
          <w:rFonts w:ascii="宋体" w:hAnsi="宋体"/>
          <w:color w:val="000000"/>
          <w:szCs w:val="21"/>
        </w:rPr>
        <w:t>2.4.3</w:t>
      </w:r>
      <w:r>
        <w:rPr>
          <w:rFonts w:hint="eastAsia" w:ascii="宋体" w:hAnsi="宋体"/>
          <w:color w:val="000000"/>
          <w:szCs w:val="21"/>
        </w:rPr>
        <w:t>定向招标是指招标人以招标邀请书的方式邀请特定的法人或者其他组织应答。</w:t>
      </w:r>
    </w:p>
    <w:p w14:paraId="046FA7F8">
      <w:pPr>
        <w:pStyle w:val="7"/>
        <w:adjustRightInd w:val="0"/>
        <w:snapToGrid w:val="0"/>
        <w:spacing w:line="360" w:lineRule="auto"/>
        <w:rPr>
          <w:rFonts w:ascii="宋体" w:hAnsi="宋体" w:eastAsia="宋体"/>
          <w:sz w:val="21"/>
          <w:szCs w:val="21"/>
        </w:rPr>
      </w:pPr>
      <w:bookmarkStart w:id="32" w:name="_Toc227057889"/>
      <w:bookmarkStart w:id="33" w:name="_Toc105770501"/>
      <w:bookmarkStart w:id="34" w:name="_Toc226969282"/>
      <w:bookmarkStart w:id="35" w:name="_Toc18926"/>
      <w:r>
        <w:rPr>
          <w:rFonts w:hint="eastAsia" w:ascii="宋体" w:hAnsi="宋体" w:eastAsia="宋体"/>
          <w:sz w:val="21"/>
          <w:szCs w:val="21"/>
        </w:rPr>
        <w:t>资格审查</w:t>
      </w:r>
      <w:bookmarkEnd w:id="32"/>
      <w:bookmarkEnd w:id="33"/>
      <w:bookmarkEnd w:id="34"/>
      <w:bookmarkEnd w:id="35"/>
    </w:p>
    <w:p w14:paraId="70E563E6">
      <w:pPr>
        <w:pStyle w:val="9"/>
        <w:snapToGrid w:val="0"/>
        <w:spacing w:line="360" w:lineRule="auto"/>
        <w:rPr>
          <w:rFonts w:ascii="宋体" w:hAnsi="宋体" w:eastAsia="宋体"/>
          <w:sz w:val="21"/>
          <w:szCs w:val="21"/>
        </w:rPr>
      </w:pPr>
      <w:r>
        <w:rPr>
          <w:rFonts w:hint="eastAsia" w:ascii="宋体" w:hAnsi="宋体" w:eastAsia="宋体"/>
          <w:sz w:val="21"/>
          <w:szCs w:val="21"/>
        </w:rPr>
        <w:t>本项目资格审查方式见应答人须知前附表。</w:t>
      </w:r>
    </w:p>
    <w:p w14:paraId="155770D4">
      <w:pPr>
        <w:pStyle w:val="9"/>
        <w:snapToGrid w:val="0"/>
        <w:spacing w:line="360" w:lineRule="auto"/>
        <w:rPr>
          <w:rFonts w:ascii="宋体" w:hAnsi="宋体" w:eastAsia="宋体"/>
          <w:sz w:val="21"/>
          <w:szCs w:val="21"/>
        </w:rPr>
      </w:pPr>
      <w:r>
        <w:rPr>
          <w:rFonts w:hint="eastAsia" w:ascii="宋体" w:hAnsi="宋体" w:eastAsia="宋体"/>
          <w:sz w:val="21"/>
          <w:szCs w:val="21"/>
        </w:rPr>
        <w:t>如采用资格预审方式,资格预审条件已经在招标文件发出前的“资格预审文件”或者在招标邀请书中做出规定。</w:t>
      </w:r>
    </w:p>
    <w:p w14:paraId="2AEAF5F2">
      <w:pPr>
        <w:tabs>
          <w:tab w:val="left" w:pos="709"/>
        </w:tabs>
        <w:adjustRightInd w:val="0"/>
        <w:snapToGrid w:val="0"/>
        <w:spacing w:after="120" w:line="360" w:lineRule="auto"/>
        <w:rPr>
          <w:rFonts w:ascii="宋体" w:hAnsi="宋体"/>
          <w:color w:val="000000"/>
          <w:szCs w:val="21"/>
        </w:rPr>
      </w:pPr>
      <w:bookmarkStart w:id="36" w:name="_Toc226969283"/>
      <w:r>
        <w:rPr>
          <w:rFonts w:ascii="宋体" w:hAnsi="宋体"/>
          <w:color w:val="000000"/>
          <w:szCs w:val="21"/>
        </w:rPr>
        <w:t>2.5.1资格后审是指在公开唱价后由评审委员会根据</w:t>
      </w:r>
      <w:r>
        <w:rPr>
          <w:rFonts w:hint="eastAsia" w:ascii="宋体" w:hAnsi="宋体"/>
          <w:color w:val="000000"/>
          <w:szCs w:val="21"/>
        </w:rPr>
        <w:t>招标</w:t>
      </w:r>
      <w:r>
        <w:rPr>
          <w:rFonts w:ascii="宋体" w:hAnsi="宋体"/>
          <w:color w:val="000000"/>
          <w:szCs w:val="21"/>
        </w:rPr>
        <w:t>文件的规定对应答人进行的资格审查。</w:t>
      </w:r>
      <w:bookmarkEnd w:id="36"/>
    </w:p>
    <w:p w14:paraId="766A48BE">
      <w:pPr>
        <w:tabs>
          <w:tab w:val="left" w:pos="709"/>
        </w:tabs>
        <w:adjustRightInd w:val="0"/>
        <w:snapToGrid w:val="0"/>
        <w:spacing w:after="120" w:line="360" w:lineRule="auto"/>
        <w:rPr>
          <w:rFonts w:ascii="宋体" w:hAnsi="宋体"/>
          <w:color w:val="000000"/>
          <w:szCs w:val="21"/>
        </w:rPr>
      </w:pPr>
      <w:r>
        <w:rPr>
          <w:rFonts w:ascii="宋体" w:hAnsi="宋体"/>
          <w:color w:val="000000"/>
          <w:szCs w:val="21"/>
        </w:rPr>
        <w:t>2.5.</w:t>
      </w:r>
      <w:r>
        <w:rPr>
          <w:rFonts w:hint="eastAsia" w:ascii="宋体" w:hAnsi="宋体"/>
          <w:color w:val="000000"/>
          <w:szCs w:val="21"/>
        </w:rPr>
        <w:t>2</w:t>
      </w:r>
      <w:r>
        <w:rPr>
          <w:rFonts w:ascii="宋体" w:hAnsi="宋体"/>
          <w:color w:val="000000"/>
          <w:szCs w:val="21"/>
        </w:rPr>
        <w:t>资格后审一般包括下列内容：</w:t>
      </w:r>
    </w:p>
    <w:p w14:paraId="4642183F">
      <w:pPr>
        <w:numPr>
          <w:ilvl w:val="0"/>
          <w:numId w:val="8"/>
        </w:numPr>
        <w:adjustRightInd w:val="0"/>
        <w:snapToGrid w:val="0"/>
        <w:spacing w:after="120" w:line="360" w:lineRule="auto"/>
        <w:rPr>
          <w:rFonts w:ascii="宋体" w:hAnsi="宋体"/>
          <w:color w:val="000000"/>
          <w:szCs w:val="21"/>
        </w:rPr>
      </w:pPr>
      <w:r>
        <w:rPr>
          <w:rFonts w:ascii="宋体" w:hAnsi="宋体"/>
          <w:color w:val="000000"/>
          <w:szCs w:val="21"/>
        </w:rPr>
        <w:t>资格要求；</w:t>
      </w:r>
    </w:p>
    <w:p w14:paraId="2C567C2F">
      <w:pPr>
        <w:numPr>
          <w:ilvl w:val="0"/>
          <w:numId w:val="8"/>
        </w:numPr>
        <w:adjustRightInd w:val="0"/>
        <w:snapToGrid w:val="0"/>
        <w:spacing w:after="120" w:line="360" w:lineRule="auto"/>
        <w:rPr>
          <w:rFonts w:ascii="宋体" w:hAnsi="宋体"/>
          <w:color w:val="000000"/>
          <w:szCs w:val="21"/>
        </w:rPr>
      </w:pPr>
      <w:r>
        <w:rPr>
          <w:rFonts w:ascii="宋体" w:hAnsi="宋体"/>
          <w:color w:val="000000"/>
          <w:szCs w:val="21"/>
        </w:rPr>
        <w:t>其他业绩要求；</w:t>
      </w:r>
    </w:p>
    <w:p w14:paraId="2661D2F0">
      <w:pPr>
        <w:numPr>
          <w:ilvl w:val="0"/>
          <w:numId w:val="8"/>
        </w:numPr>
        <w:adjustRightInd w:val="0"/>
        <w:snapToGrid w:val="0"/>
        <w:spacing w:after="120" w:line="360" w:lineRule="auto"/>
        <w:rPr>
          <w:rFonts w:ascii="宋体" w:hAnsi="宋体"/>
          <w:color w:val="000000"/>
          <w:szCs w:val="21"/>
        </w:rPr>
      </w:pPr>
      <w:r>
        <w:rPr>
          <w:rFonts w:ascii="宋体" w:hAnsi="宋体"/>
          <w:color w:val="000000"/>
          <w:szCs w:val="21"/>
        </w:rPr>
        <w:t>审查标准和方法。</w:t>
      </w:r>
    </w:p>
    <w:p w14:paraId="473EA28B">
      <w:pPr>
        <w:adjustRightInd w:val="0"/>
        <w:snapToGrid w:val="0"/>
        <w:spacing w:after="120" w:line="360" w:lineRule="auto"/>
        <w:rPr>
          <w:rFonts w:ascii="宋体" w:hAnsi="宋体"/>
          <w:color w:val="000000"/>
          <w:szCs w:val="21"/>
        </w:rPr>
      </w:pPr>
      <w:r>
        <w:rPr>
          <w:rFonts w:hint="eastAsia" w:ascii="宋体" w:hAnsi="宋体"/>
          <w:color w:val="000000"/>
          <w:szCs w:val="21"/>
        </w:rPr>
        <w:t>2.5.3资格后审的方法见本招标文件的第五章“评审办法”。</w:t>
      </w:r>
    </w:p>
    <w:p w14:paraId="26B8A46B">
      <w:pPr>
        <w:adjustRightInd w:val="0"/>
        <w:snapToGrid w:val="0"/>
        <w:spacing w:after="120" w:line="360" w:lineRule="auto"/>
        <w:rPr>
          <w:rFonts w:ascii="宋体" w:hAnsi="宋体"/>
          <w:color w:val="000000"/>
          <w:szCs w:val="21"/>
        </w:rPr>
      </w:pPr>
      <w:r>
        <w:rPr>
          <w:rFonts w:ascii="宋体" w:hAnsi="宋体"/>
          <w:color w:val="000000"/>
          <w:szCs w:val="21"/>
        </w:rPr>
        <w:t>2.5.4资</w:t>
      </w:r>
      <w:r>
        <w:rPr>
          <w:rFonts w:hint="eastAsia" w:ascii="宋体" w:hAnsi="宋体"/>
          <w:color w:val="000000"/>
          <w:szCs w:val="21"/>
        </w:rPr>
        <w:t>格后审不合格的应答人，由评审委员会否决其应答。</w:t>
      </w:r>
    </w:p>
    <w:p w14:paraId="4FF0B82B">
      <w:pPr>
        <w:pStyle w:val="7"/>
        <w:adjustRightInd w:val="0"/>
        <w:snapToGrid w:val="0"/>
        <w:spacing w:line="360" w:lineRule="auto"/>
        <w:rPr>
          <w:rFonts w:ascii="宋体" w:hAnsi="宋体" w:eastAsia="宋体"/>
          <w:sz w:val="21"/>
          <w:szCs w:val="21"/>
        </w:rPr>
      </w:pPr>
      <w:bookmarkStart w:id="37" w:name="_Toc107822487"/>
      <w:bookmarkStart w:id="38" w:name="_Toc226969284"/>
      <w:bookmarkStart w:id="39" w:name="_Toc227057890"/>
      <w:bookmarkStart w:id="40" w:name="_Toc4081"/>
      <w:bookmarkStart w:id="41" w:name="_Toc105770502"/>
      <w:r>
        <w:rPr>
          <w:rFonts w:ascii="宋体" w:hAnsi="宋体" w:eastAsia="宋体"/>
          <w:sz w:val="21"/>
          <w:szCs w:val="21"/>
        </w:rPr>
        <w:t>合格的</w:t>
      </w:r>
      <w:r>
        <w:rPr>
          <w:rFonts w:hint="eastAsia" w:ascii="宋体" w:hAnsi="宋体" w:eastAsia="宋体"/>
          <w:sz w:val="21"/>
          <w:szCs w:val="21"/>
        </w:rPr>
        <w:t>货物</w:t>
      </w:r>
      <w:r>
        <w:rPr>
          <w:rFonts w:ascii="宋体" w:hAnsi="宋体" w:eastAsia="宋体"/>
          <w:sz w:val="21"/>
          <w:szCs w:val="21"/>
        </w:rPr>
        <w:t>和服务</w:t>
      </w:r>
      <w:bookmarkEnd w:id="37"/>
      <w:bookmarkEnd w:id="38"/>
      <w:bookmarkEnd w:id="39"/>
      <w:bookmarkEnd w:id="40"/>
      <w:bookmarkEnd w:id="41"/>
    </w:p>
    <w:p w14:paraId="7A45A0DC">
      <w:pPr>
        <w:adjustRightInd w:val="0"/>
        <w:snapToGrid w:val="0"/>
        <w:spacing w:line="360" w:lineRule="auto"/>
        <w:ind w:left="567" w:hanging="567" w:hangingChars="270"/>
        <w:rPr>
          <w:rFonts w:ascii="宋体" w:hAnsi="宋体"/>
          <w:b/>
          <w:szCs w:val="21"/>
        </w:rPr>
      </w:pPr>
      <w:r>
        <w:rPr>
          <w:rFonts w:hint="eastAsia" w:ascii="宋体" w:hAnsi="宋体"/>
          <w:szCs w:val="21"/>
        </w:rPr>
        <w:t>2.6.1</w:t>
      </w:r>
      <w:r>
        <w:rPr>
          <w:rFonts w:ascii="宋体" w:hAnsi="宋体"/>
          <w:szCs w:val="21"/>
        </w:rPr>
        <w:t>应答人提供的所有</w:t>
      </w:r>
      <w:r>
        <w:rPr>
          <w:rFonts w:hint="eastAsia" w:ascii="宋体" w:hAnsi="宋体"/>
          <w:szCs w:val="21"/>
        </w:rPr>
        <w:t>货物</w:t>
      </w:r>
      <w:r>
        <w:rPr>
          <w:rFonts w:ascii="宋体" w:hAnsi="宋体"/>
          <w:szCs w:val="21"/>
        </w:rPr>
        <w:t>及其有关服务的原产地，均应来自中国或是与中国有正常贸易往来的国家或地区。</w:t>
      </w:r>
      <w:r>
        <w:rPr>
          <w:rFonts w:hint="eastAsia" w:ascii="宋体" w:hAnsi="宋体"/>
          <w:szCs w:val="21"/>
        </w:rPr>
        <w:t>招标人</w:t>
      </w:r>
      <w:r>
        <w:rPr>
          <w:rFonts w:ascii="宋体" w:hAnsi="宋体"/>
          <w:szCs w:val="21"/>
        </w:rPr>
        <w:t>的支付也仅限于这些货物和服务。</w:t>
      </w:r>
    </w:p>
    <w:p w14:paraId="6594D1A7">
      <w:pPr>
        <w:adjustRightInd w:val="0"/>
        <w:snapToGrid w:val="0"/>
        <w:spacing w:line="360" w:lineRule="auto"/>
        <w:ind w:left="567" w:hanging="567" w:hangingChars="270"/>
        <w:rPr>
          <w:rFonts w:ascii="宋体" w:hAnsi="宋体"/>
          <w:b/>
          <w:szCs w:val="21"/>
        </w:rPr>
      </w:pPr>
      <w:r>
        <w:rPr>
          <w:rFonts w:hint="eastAsia" w:ascii="宋体" w:hAnsi="宋体"/>
          <w:szCs w:val="21"/>
        </w:rPr>
        <w:t>2.6.2</w:t>
      </w:r>
      <w:r>
        <w:rPr>
          <w:rFonts w:ascii="宋体" w:hAnsi="宋体"/>
          <w:szCs w:val="21"/>
        </w:rPr>
        <w:t>本</w:t>
      </w:r>
      <w:r>
        <w:rPr>
          <w:rFonts w:hint="eastAsia" w:ascii="宋体" w:hAnsi="宋体"/>
          <w:szCs w:val="21"/>
        </w:rPr>
        <w:t>招标文件</w:t>
      </w:r>
      <w:r>
        <w:rPr>
          <w:rFonts w:ascii="宋体" w:hAnsi="宋体"/>
          <w:szCs w:val="21"/>
        </w:rPr>
        <w:t>所属的“原产地”是指货物开采、生长或生产或提供有关服务的来源地。所述的“货物”是指制造、加工或实质上装配了主要部件而形成的货物。商业上公认的产品是指基本特征、性能或功能上与部件有着实质性区别的产品</w:t>
      </w:r>
      <w:r>
        <w:rPr>
          <w:rFonts w:hint="eastAsia" w:ascii="宋体" w:hAnsi="宋体"/>
          <w:szCs w:val="21"/>
        </w:rPr>
        <w:t>。</w:t>
      </w:r>
    </w:p>
    <w:p w14:paraId="7075F036">
      <w:pPr>
        <w:adjustRightInd w:val="0"/>
        <w:snapToGrid w:val="0"/>
        <w:spacing w:line="360" w:lineRule="auto"/>
        <w:ind w:left="567" w:hanging="567" w:hangingChars="270"/>
        <w:rPr>
          <w:rFonts w:ascii="宋体" w:hAnsi="宋体"/>
          <w:b/>
          <w:szCs w:val="21"/>
        </w:rPr>
      </w:pPr>
      <w:r>
        <w:rPr>
          <w:rFonts w:hint="eastAsia" w:ascii="宋体" w:hAnsi="宋体"/>
          <w:szCs w:val="21"/>
        </w:rPr>
        <w:t>2.6.3</w:t>
      </w:r>
      <w:r>
        <w:rPr>
          <w:rFonts w:ascii="宋体" w:hAnsi="宋体"/>
          <w:szCs w:val="21"/>
        </w:rPr>
        <w:t>如果应答的</w:t>
      </w:r>
      <w:r>
        <w:rPr>
          <w:rFonts w:hint="eastAsia" w:ascii="宋体" w:hAnsi="宋体"/>
          <w:szCs w:val="21"/>
        </w:rPr>
        <w:t>货物</w:t>
      </w:r>
      <w:r>
        <w:rPr>
          <w:rFonts w:ascii="宋体" w:hAnsi="宋体"/>
          <w:szCs w:val="21"/>
        </w:rPr>
        <w:t>实行生产许可证制度的，应有生产许可证。在电信设备进网许可证制度范围内的设备，应有进网许可证。</w:t>
      </w:r>
    </w:p>
    <w:p w14:paraId="6C52CDA9">
      <w:pPr>
        <w:pStyle w:val="7"/>
        <w:adjustRightInd w:val="0"/>
        <w:snapToGrid w:val="0"/>
        <w:spacing w:line="360" w:lineRule="auto"/>
        <w:rPr>
          <w:rFonts w:ascii="宋体" w:hAnsi="宋体" w:eastAsia="宋体"/>
          <w:sz w:val="21"/>
          <w:szCs w:val="21"/>
        </w:rPr>
      </w:pPr>
      <w:bookmarkStart w:id="42" w:name="_Toc105770503"/>
      <w:bookmarkStart w:id="43" w:name="_Toc107822488"/>
      <w:bookmarkStart w:id="44" w:name="_Toc226969285"/>
      <w:bookmarkStart w:id="45" w:name="_Toc11551"/>
      <w:bookmarkStart w:id="46" w:name="_Toc227057891"/>
      <w:r>
        <w:rPr>
          <w:rFonts w:ascii="宋体" w:hAnsi="宋体" w:eastAsia="宋体"/>
          <w:sz w:val="21"/>
          <w:szCs w:val="21"/>
        </w:rPr>
        <w:t>应答费用</w:t>
      </w:r>
      <w:bookmarkEnd w:id="42"/>
      <w:bookmarkEnd w:id="43"/>
      <w:bookmarkEnd w:id="44"/>
      <w:bookmarkEnd w:id="45"/>
      <w:bookmarkEnd w:id="46"/>
    </w:p>
    <w:p w14:paraId="06631EDF">
      <w:pPr>
        <w:adjustRightInd w:val="0"/>
        <w:snapToGrid w:val="0"/>
        <w:spacing w:after="120" w:line="360" w:lineRule="auto"/>
        <w:ind w:firstLine="420" w:firstLineChars="200"/>
        <w:rPr>
          <w:rFonts w:ascii="宋体" w:hAnsi="宋体"/>
          <w:szCs w:val="21"/>
        </w:rPr>
      </w:pPr>
      <w:r>
        <w:rPr>
          <w:rFonts w:ascii="宋体" w:hAnsi="宋体"/>
          <w:szCs w:val="21"/>
        </w:rPr>
        <w:t>不论应答的结果如何，应答人自行承担所有</w:t>
      </w:r>
      <w:r>
        <w:rPr>
          <w:rFonts w:hint="eastAsia" w:ascii="宋体" w:hAnsi="宋体"/>
          <w:szCs w:val="21"/>
        </w:rPr>
        <w:t>参</w:t>
      </w:r>
      <w:r>
        <w:rPr>
          <w:rFonts w:ascii="宋体" w:hAnsi="宋体"/>
          <w:szCs w:val="21"/>
        </w:rPr>
        <w:t>与准备和参与应答有关的费用。</w:t>
      </w:r>
      <w:bookmarkStart w:id="47" w:name="_Toc107822489"/>
      <w:bookmarkStart w:id="48" w:name="_Toc226969286"/>
      <w:bookmarkStart w:id="49" w:name="_Toc227057892"/>
    </w:p>
    <w:bookmarkEnd w:id="47"/>
    <w:p w14:paraId="0032B75F">
      <w:pPr>
        <w:pStyle w:val="7"/>
        <w:adjustRightInd w:val="0"/>
        <w:snapToGrid w:val="0"/>
        <w:spacing w:line="360" w:lineRule="auto"/>
        <w:rPr>
          <w:rFonts w:ascii="宋体" w:hAnsi="宋体" w:eastAsia="宋体"/>
          <w:sz w:val="21"/>
          <w:szCs w:val="21"/>
        </w:rPr>
      </w:pPr>
      <w:bookmarkStart w:id="50" w:name="_Toc105770504"/>
      <w:bookmarkStart w:id="51" w:name="_Toc21918"/>
      <w:r>
        <w:rPr>
          <w:rFonts w:hint="eastAsia" w:ascii="宋体" w:hAnsi="宋体" w:eastAsia="宋体"/>
          <w:sz w:val="21"/>
          <w:szCs w:val="21"/>
        </w:rPr>
        <w:t>招标文件的组成</w:t>
      </w:r>
      <w:bookmarkEnd w:id="48"/>
      <w:bookmarkEnd w:id="49"/>
      <w:bookmarkEnd w:id="50"/>
      <w:bookmarkEnd w:id="51"/>
    </w:p>
    <w:p w14:paraId="64E10317">
      <w:pPr>
        <w:adjustRightInd w:val="0"/>
        <w:snapToGrid w:val="0"/>
        <w:spacing w:line="360" w:lineRule="auto"/>
        <w:ind w:firstLine="315" w:firstLineChars="150"/>
        <w:rPr>
          <w:rFonts w:ascii="宋体" w:hAnsi="宋体"/>
          <w:szCs w:val="21"/>
        </w:rPr>
      </w:pPr>
      <w:r>
        <w:rPr>
          <w:rFonts w:hint="eastAsia" w:ascii="宋体" w:hAnsi="宋体"/>
          <w:szCs w:val="21"/>
        </w:rPr>
        <w:t>见应答人须知前附表。</w:t>
      </w:r>
    </w:p>
    <w:p w14:paraId="7A743D1B">
      <w:pPr>
        <w:pStyle w:val="7"/>
        <w:adjustRightInd w:val="0"/>
        <w:snapToGrid w:val="0"/>
        <w:spacing w:line="360" w:lineRule="auto"/>
        <w:rPr>
          <w:rFonts w:ascii="宋体" w:hAnsi="宋体" w:eastAsia="宋体"/>
          <w:sz w:val="21"/>
          <w:szCs w:val="21"/>
        </w:rPr>
      </w:pPr>
      <w:bookmarkStart w:id="52" w:name="_Toc105770505"/>
      <w:bookmarkStart w:id="53" w:name="_Toc13047"/>
      <w:bookmarkStart w:id="54" w:name="_Toc227057893"/>
      <w:bookmarkStart w:id="55" w:name="_Toc107822490"/>
      <w:bookmarkStart w:id="56" w:name="_Toc226969287"/>
      <w:r>
        <w:rPr>
          <w:rFonts w:hint="eastAsia" w:ascii="宋体" w:hAnsi="宋体" w:eastAsia="宋体"/>
          <w:sz w:val="21"/>
          <w:szCs w:val="21"/>
        </w:rPr>
        <w:t>应答</w:t>
      </w:r>
      <w:r>
        <w:rPr>
          <w:rFonts w:ascii="宋体" w:hAnsi="宋体" w:eastAsia="宋体"/>
          <w:sz w:val="21"/>
          <w:szCs w:val="21"/>
        </w:rPr>
        <w:t>预备会</w:t>
      </w:r>
      <w:bookmarkEnd w:id="52"/>
      <w:bookmarkEnd w:id="53"/>
    </w:p>
    <w:p w14:paraId="2F95A9E1">
      <w:pPr>
        <w:pStyle w:val="70"/>
        <w:adjustRightInd w:val="0"/>
        <w:snapToGrid w:val="0"/>
        <w:ind w:firstLine="420"/>
        <w:rPr>
          <w:rFonts w:ascii="宋体" w:hAnsi="宋体"/>
          <w:color w:val="000000"/>
          <w:sz w:val="21"/>
        </w:rPr>
      </w:pPr>
      <w:r>
        <w:rPr>
          <w:rFonts w:hint="eastAsia" w:ascii="宋体" w:hAnsi="宋体"/>
          <w:color w:val="000000"/>
          <w:sz w:val="21"/>
        </w:rPr>
        <w:t>应答人须知前附表规定召开应答预备会的，招标人按照应答人须知前附表规定的时间和地点召开应答预备会，澄清潜在应答人提出的问题。</w:t>
      </w:r>
    </w:p>
    <w:p w14:paraId="14F6976E">
      <w:pPr>
        <w:pStyle w:val="7"/>
        <w:adjustRightInd w:val="0"/>
        <w:snapToGrid w:val="0"/>
        <w:spacing w:line="360" w:lineRule="auto"/>
        <w:rPr>
          <w:rFonts w:ascii="宋体" w:hAnsi="宋体" w:eastAsia="宋体"/>
          <w:sz w:val="21"/>
          <w:szCs w:val="21"/>
        </w:rPr>
      </w:pPr>
      <w:bookmarkStart w:id="57" w:name="_Toc20893"/>
      <w:bookmarkStart w:id="58" w:name="_Toc105770506"/>
      <w:r>
        <w:rPr>
          <w:rFonts w:hint="eastAsia" w:ascii="宋体" w:hAnsi="宋体" w:eastAsia="宋体"/>
          <w:sz w:val="21"/>
          <w:szCs w:val="21"/>
        </w:rPr>
        <w:t>招标</w:t>
      </w:r>
      <w:r>
        <w:rPr>
          <w:rFonts w:ascii="宋体" w:hAnsi="宋体" w:eastAsia="宋体"/>
          <w:sz w:val="21"/>
          <w:szCs w:val="21"/>
        </w:rPr>
        <w:t>文件的澄清</w:t>
      </w:r>
      <w:bookmarkEnd w:id="54"/>
      <w:bookmarkEnd w:id="55"/>
      <w:bookmarkEnd w:id="56"/>
      <w:r>
        <w:rPr>
          <w:rFonts w:hint="eastAsia" w:ascii="宋体" w:hAnsi="宋体" w:eastAsia="宋体"/>
          <w:sz w:val="21"/>
          <w:szCs w:val="21"/>
        </w:rPr>
        <w:t>与修改</w:t>
      </w:r>
      <w:bookmarkEnd w:id="57"/>
      <w:bookmarkEnd w:id="58"/>
    </w:p>
    <w:p w14:paraId="595C9ED8">
      <w:pPr>
        <w:numPr>
          <w:ilvl w:val="0"/>
          <w:numId w:val="9"/>
        </w:numPr>
        <w:tabs>
          <w:tab w:val="left" w:pos="284"/>
          <w:tab w:val="clear" w:pos="0"/>
        </w:tabs>
        <w:adjustRightInd w:val="0"/>
        <w:snapToGrid w:val="0"/>
        <w:spacing w:line="360" w:lineRule="auto"/>
        <w:ind w:left="708" w:hanging="707" w:hangingChars="337"/>
        <w:rPr>
          <w:rFonts w:ascii="宋体" w:hAnsi="宋体"/>
          <w:color w:val="000000"/>
          <w:szCs w:val="21"/>
        </w:rPr>
      </w:pPr>
      <w:r>
        <w:rPr>
          <w:rFonts w:hint="eastAsia" w:ascii="宋体" w:hAnsi="宋体"/>
          <w:color w:val="000000"/>
          <w:szCs w:val="21"/>
        </w:rPr>
        <w:t>应答人对招标文件有疑问的，应当按照应答人须知前附表规定的时间和方式，要求招标人对招标文件进行澄清。</w:t>
      </w:r>
    </w:p>
    <w:p w14:paraId="1E2224F6">
      <w:pPr>
        <w:numPr>
          <w:ilvl w:val="0"/>
          <w:numId w:val="9"/>
        </w:numPr>
        <w:tabs>
          <w:tab w:val="left" w:pos="284"/>
          <w:tab w:val="clear" w:pos="0"/>
        </w:tabs>
        <w:adjustRightInd w:val="0"/>
        <w:snapToGrid w:val="0"/>
        <w:spacing w:line="360" w:lineRule="auto"/>
        <w:ind w:left="708" w:hanging="707" w:hangingChars="337"/>
        <w:rPr>
          <w:rFonts w:ascii="宋体" w:hAnsi="宋体"/>
          <w:color w:val="000000"/>
          <w:szCs w:val="21"/>
        </w:rPr>
      </w:pPr>
      <w:r>
        <w:rPr>
          <w:rFonts w:hint="eastAsia" w:ascii="宋体" w:hAnsi="宋体"/>
          <w:color w:val="000000"/>
          <w:szCs w:val="21"/>
        </w:rPr>
        <w:t>招标人应当按照应答人须知前附表规定的时间和方式，将澄清或者修改内容发给所有购买招标文件的应答人，但不指明问题的来源。</w:t>
      </w:r>
    </w:p>
    <w:p w14:paraId="24508B02">
      <w:pPr>
        <w:numPr>
          <w:ilvl w:val="0"/>
          <w:numId w:val="9"/>
        </w:numPr>
        <w:tabs>
          <w:tab w:val="left" w:pos="426"/>
          <w:tab w:val="clear" w:pos="0"/>
        </w:tabs>
        <w:adjustRightInd w:val="0"/>
        <w:snapToGrid w:val="0"/>
        <w:spacing w:line="360" w:lineRule="auto"/>
        <w:ind w:left="709" w:hanging="705"/>
        <w:rPr>
          <w:rFonts w:ascii="宋体" w:hAnsi="宋体"/>
          <w:color w:val="000000"/>
          <w:szCs w:val="21"/>
        </w:rPr>
      </w:pPr>
      <w:r>
        <w:rPr>
          <w:rFonts w:hint="eastAsia" w:ascii="宋体" w:hAnsi="宋体"/>
          <w:color w:val="000000"/>
          <w:szCs w:val="21"/>
        </w:rPr>
        <w:t>如澄清或者修改的内容可能影响应答文件编制的，应当在递交应答文件截止时间至少1日前发出，不足1日的，招标人应当相应顺延应答截止时间。</w:t>
      </w:r>
    </w:p>
    <w:p w14:paraId="3EB65D7B">
      <w:pPr>
        <w:numPr>
          <w:ilvl w:val="0"/>
          <w:numId w:val="9"/>
        </w:numPr>
        <w:tabs>
          <w:tab w:val="left" w:pos="426"/>
          <w:tab w:val="clear" w:pos="0"/>
        </w:tabs>
        <w:adjustRightInd w:val="0"/>
        <w:snapToGrid w:val="0"/>
        <w:spacing w:line="360" w:lineRule="auto"/>
        <w:ind w:left="709" w:hanging="705"/>
        <w:rPr>
          <w:rFonts w:ascii="宋体" w:hAnsi="宋体"/>
          <w:color w:val="000000"/>
          <w:szCs w:val="21"/>
        </w:rPr>
      </w:pPr>
      <w:r>
        <w:rPr>
          <w:rFonts w:hint="eastAsia" w:ascii="宋体" w:hAnsi="宋体"/>
          <w:color w:val="000000"/>
          <w:szCs w:val="21"/>
        </w:rPr>
        <w:t>招标文件的修改将以书面形式或</w:t>
      </w:r>
      <w:r>
        <w:rPr>
          <w:rFonts w:ascii="宋体" w:hAnsi="宋体"/>
          <w:color w:val="000000"/>
          <w:szCs w:val="21"/>
        </w:rPr>
        <w:t>通过</w:t>
      </w:r>
      <w:r>
        <w:rPr>
          <w:rFonts w:hint="eastAsia" w:ascii="宋体" w:hAnsi="宋体"/>
          <w:color w:val="000000"/>
          <w:szCs w:val="21"/>
        </w:rPr>
        <w:t>通知所有购买招标文件的应答人，招标人收到上述通知后，应立即以书面形式确认收到修改文件。</w:t>
      </w:r>
    </w:p>
    <w:p w14:paraId="65588E10">
      <w:pPr>
        <w:numPr>
          <w:ilvl w:val="0"/>
          <w:numId w:val="9"/>
        </w:numPr>
        <w:tabs>
          <w:tab w:val="left" w:pos="426"/>
          <w:tab w:val="clear" w:pos="0"/>
        </w:tabs>
        <w:adjustRightInd w:val="0"/>
        <w:snapToGrid w:val="0"/>
        <w:spacing w:line="360" w:lineRule="auto"/>
        <w:ind w:left="709" w:hanging="705"/>
        <w:rPr>
          <w:rFonts w:ascii="宋体" w:hAnsi="宋体"/>
          <w:color w:val="000000"/>
          <w:szCs w:val="21"/>
        </w:rPr>
      </w:pPr>
      <w:r>
        <w:rPr>
          <w:rFonts w:hint="eastAsia" w:ascii="宋体" w:hAnsi="宋体"/>
          <w:color w:val="000000"/>
          <w:szCs w:val="21"/>
        </w:rPr>
        <w:t>所有关于招标文件的澄清和修改均作为招标文件的补充部分。当招标文件、招标文件的澄清或者修改等在同一内容的表述上不一致时，以最后发出的书面文件为准。</w:t>
      </w:r>
    </w:p>
    <w:p w14:paraId="79F3A191">
      <w:pPr>
        <w:pStyle w:val="7"/>
        <w:adjustRightInd w:val="0"/>
        <w:snapToGrid w:val="0"/>
        <w:spacing w:line="360" w:lineRule="auto"/>
        <w:rPr>
          <w:rFonts w:ascii="宋体" w:hAnsi="宋体" w:eastAsia="宋体"/>
          <w:sz w:val="21"/>
          <w:szCs w:val="21"/>
        </w:rPr>
      </w:pPr>
      <w:bookmarkStart w:id="59" w:name="_Toc226969289"/>
      <w:bookmarkStart w:id="60" w:name="_Toc105770507"/>
      <w:bookmarkStart w:id="61" w:name="_Toc107822492"/>
      <w:bookmarkStart w:id="62" w:name="_Toc24584"/>
      <w:bookmarkStart w:id="63" w:name="_Toc227057895"/>
      <w:r>
        <w:rPr>
          <w:rFonts w:ascii="宋体" w:hAnsi="宋体" w:eastAsia="宋体"/>
          <w:sz w:val="21"/>
          <w:szCs w:val="21"/>
        </w:rPr>
        <w:t>应答文件的编写</w:t>
      </w:r>
      <w:bookmarkEnd w:id="59"/>
      <w:bookmarkEnd w:id="60"/>
      <w:bookmarkEnd w:id="61"/>
      <w:bookmarkEnd w:id="62"/>
      <w:bookmarkEnd w:id="63"/>
    </w:p>
    <w:p w14:paraId="06A196F6">
      <w:pPr>
        <w:numPr>
          <w:ilvl w:val="0"/>
          <w:numId w:val="10"/>
        </w:numPr>
        <w:adjustRightInd w:val="0"/>
        <w:snapToGrid w:val="0"/>
        <w:spacing w:line="360" w:lineRule="auto"/>
        <w:ind w:left="851" w:hanging="709"/>
        <w:rPr>
          <w:rFonts w:ascii="宋体" w:hAnsi="宋体"/>
          <w:color w:val="000000"/>
          <w:szCs w:val="21"/>
        </w:rPr>
      </w:pPr>
      <w:r>
        <w:rPr>
          <w:rFonts w:hint="eastAsia" w:ascii="宋体" w:hAnsi="宋体"/>
          <w:color w:val="000000"/>
          <w:szCs w:val="21"/>
        </w:rPr>
        <w:t>应答人应认真阅读招标文件中所有的事项、格式、条款和技术规范等。应答人没有按照招标文件要求提交全部资料，或者应答没有对招标文件在各方面都做出实质性响应是应答人的风险，并可能导致其应答被否决。凡属于细微偏差的将会由评审委员会做出不利于应答人的评审。</w:t>
      </w:r>
    </w:p>
    <w:p w14:paraId="19273BED">
      <w:pPr>
        <w:numPr>
          <w:ilvl w:val="0"/>
          <w:numId w:val="10"/>
        </w:numPr>
        <w:tabs>
          <w:tab w:val="left" w:pos="900"/>
          <w:tab w:val="clear" w:pos="0"/>
        </w:tabs>
        <w:adjustRightInd w:val="0"/>
        <w:snapToGrid w:val="0"/>
        <w:spacing w:line="360" w:lineRule="auto"/>
        <w:ind w:left="898" w:leftChars="1" w:hanging="896" w:hangingChars="427"/>
        <w:jc w:val="left"/>
        <w:rPr>
          <w:rFonts w:ascii="宋体" w:hAnsi="宋体"/>
          <w:color w:val="000000"/>
          <w:szCs w:val="21"/>
        </w:rPr>
      </w:pPr>
      <w:r>
        <w:rPr>
          <w:rFonts w:ascii="宋体" w:hAnsi="宋体"/>
          <w:color w:val="000000"/>
          <w:szCs w:val="21"/>
        </w:rPr>
        <w:t>应答人提交的应答文件以及应答人与</w:t>
      </w:r>
      <w:r>
        <w:rPr>
          <w:rFonts w:hint="eastAsia" w:ascii="宋体" w:hAnsi="宋体"/>
          <w:color w:val="000000"/>
          <w:szCs w:val="21"/>
        </w:rPr>
        <w:t>招标人</w:t>
      </w:r>
      <w:r>
        <w:rPr>
          <w:rFonts w:ascii="宋体" w:hAnsi="宋体"/>
          <w:color w:val="000000"/>
          <w:szCs w:val="21"/>
        </w:rPr>
        <w:t>就有关应答的所有往来函电均应</w:t>
      </w:r>
      <w:r>
        <w:rPr>
          <w:rFonts w:hint="eastAsia" w:ascii="宋体" w:hAnsi="宋体"/>
          <w:color w:val="000000"/>
          <w:szCs w:val="21"/>
        </w:rPr>
        <w:t>使</w:t>
      </w:r>
      <w:r>
        <w:rPr>
          <w:rFonts w:ascii="宋体" w:hAnsi="宋体"/>
          <w:color w:val="000000"/>
          <w:szCs w:val="21"/>
        </w:rPr>
        <w:t>用中文。应答人提交的支持文件和印刷的文献可以使用另一种语言，但</w:t>
      </w:r>
      <w:r>
        <w:rPr>
          <w:rFonts w:hint="eastAsia" w:ascii="宋体" w:hAnsi="宋体"/>
          <w:color w:val="000000"/>
          <w:szCs w:val="21"/>
        </w:rPr>
        <w:t>相</w:t>
      </w:r>
      <w:r>
        <w:rPr>
          <w:rFonts w:ascii="宋体" w:hAnsi="宋体"/>
          <w:color w:val="000000"/>
          <w:szCs w:val="21"/>
        </w:rPr>
        <w:t>应内容应译成中文，在解释应答文件时</w:t>
      </w:r>
      <w:r>
        <w:rPr>
          <w:rFonts w:hint="eastAsia" w:ascii="宋体" w:hAnsi="宋体"/>
          <w:color w:val="000000"/>
          <w:szCs w:val="21"/>
        </w:rPr>
        <w:t>以中文译本</w:t>
      </w:r>
      <w:r>
        <w:rPr>
          <w:rFonts w:ascii="宋体" w:hAnsi="宋体"/>
          <w:color w:val="000000"/>
          <w:szCs w:val="21"/>
        </w:rPr>
        <w:t>为准。</w:t>
      </w:r>
    </w:p>
    <w:p w14:paraId="51FFF38F">
      <w:pPr>
        <w:pStyle w:val="7"/>
        <w:adjustRightInd w:val="0"/>
        <w:snapToGrid w:val="0"/>
        <w:spacing w:line="360" w:lineRule="auto"/>
        <w:rPr>
          <w:rFonts w:ascii="宋体" w:hAnsi="宋体" w:eastAsia="宋体"/>
          <w:sz w:val="21"/>
          <w:szCs w:val="21"/>
        </w:rPr>
      </w:pPr>
      <w:bookmarkStart w:id="64" w:name="_Toc107822493"/>
      <w:bookmarkStart w:id="65" w:name="_Toc226969290"/>
      <w:bookmarkStart w:id="66" w:name="_Toc227057896"/>
      <w:bookmarkStart w:id="67" w:name="_Toc2656"/>
      <w:bookmarkStart w:id="68" w:name="_Toc105770508"/>
      <w:r>
        <w:rPr>
          <w:rFonts w:ascii="宋体" w:hAnsi="宋体" w:eastAsia="宋体"/>
          <w:sz w:val="21"/>
          <w:szCs w:val="21"/>
        </w:rPr>
        <w:t>应答文件的</w:t>
      </w:r>
      <w:bookmarkEnd w:id="64"/>
      <w:bookmarkEnd w:id="65"/>
      <w:bookmarkEnd w:id="66"/>
      <w:r>
        <w:rPr>
          <w:rFonts w:hint="eastAsia" w:ascii="宋体" w:hAnsi="宋体" w:eastAsia="宋体"/>
          <w:sz w:val="21"/>
          <w:szCs w:val="21"/>
        </w:rPr>
        <w:t>组成</w:t>
      </w:r>
      <w:bookmarkEnd w:id="67"/>
      <w:bookmarkEnd w:id="68"/>
    </w:p>
    <w:p w14:paraId="0F5823A5">
      <w:pPr>
        <w:adjustRightInd w:val="0"/>
        <w:snapToGrid w:val="0"/>
        <w:spacing w:line="360" w:lineRule="auto"/>
        <w:ind w:firstLine="315" w:firstLineChars="150"/>
        <w:rPr>
          <w:rFonts w:ascii="宋体" w:hAnsi="宋体"/>
          <w:szCs w:val="21"/>
        </w:rPr>
      </w:pPr>
      <w:bookmarkStart w:id="69" w:name="_Toc107822494"/>
      <w:bookmarkStart w:id="70" w:name="_Toc227057897"/>
      <w:bookmarkStart w:id="71" w:name="_Toc226969291"/>
      <w:r>
        <w:rPr>
          <w:rFonts w:hint="eastAsia" w:ascii="宋体" w:hAnsi="宋体"/>
          <w:szCs w:val="21"/>
        </w:rPr>
        <w:t>见应答人须知前附表。</w:t>
      </w:r>
    </w:p>
    <w:p w14:paraId="16BCF4FD">
      <w:pPr>
        <w:pStyle w:val="7"/>
        <w:adjustRightInd w:val="0"/>
        <w:snapToGrid w:val="0"/>
        <w:spacing w:line="360" w:lineRule="auto"/>
        <w:rPr>
          <w:rFonts w:ascii="宋体" w:hAnsi="宋体" w:eastAsia="宋体"/>
          <w:sz w:val="21"/>
          <w:szCs w:val="21"/>
        </w:rPr>
      </w:pPr>
      <w:bookmarkStart w:id="72" w:name="_Toc3201"/>
      <w:bookmarkStart w:id="73" w:name="_Toc105770509"/>
      <w:r>
        <w:rPr>
          <w:rFonts w:ascii="宋体" w:hAnsi="宋体" w:eastAsia="宋体"/>
          <w:sz w:val="21"/>
          <w:szCs w:val="21"/>
        </w:rPr>
        <w:t>关于优惠</w:t>
      </w:r>
      <w:bookmarkEnd w:id="69"/>
      <w:r>
        <w:rPr>
          <w:rFonts w:hint="eastAsia" w:ascii="宋体" w:hAnsi="宋体" w:eastAsia="宋体"/>
          <w:sz w:val="21"/>
          <w:szCs w:val="21"/>
        </w:rPr>
        <w:t>条件</w:t>
      </w:r>
      <w:bookmarkEnd w:id="70"/>
      <w:bookmarkEnd w:id="71"/>
      <w:bookmarkEnd w:id="72"/>
      <w:bookmarkEnd w:id="73"/>
      <w:r>
        <w:rPr>
          <w:rFonts w:hint="eastAsia" w:ascii="宋体" w:hAnsi="宋体" w:eastAsia="宋体"/>
          <w:sz w:val="21"/>
          <w:szCs w:val="21"/>
        </w:rPr>
        <w:t xml:space="preserve">  </w:t>
      </w:r>
    </w:p>
    <w:p w14:paraId="0C6DED81">
      <w:pPr>
        <w:adjustRightInd w:val="0"/>
        <w:snapToGrid w:val="0"/>
        <w:spacing w:line="360" w:lineRule="auto"/>
        <w:ind w:firstLine="420" w:firstLineChars="200"/>
        <w:rPr>
          <w:rFonts w:ascii="宋体" w:hAnsi="宋体"/>
          <w:color w:val="000000"/>
          <w:szCs w:val="21"/>
        </w:rPr>
      </w:pPr>
      <w:r>
        <w:rPr>
          <w:rFonts w:ascii="宋体" w:hAnsi="宋体"/>
          <w:color w:val="000000"/>
          <w:szCs w:val="21"/>
        </w:rPr>
        <w:t>只有在</w:t>
      </w:r>
      <w:r>
        <w:rPr>
          <w:rFonts w:hint="eastAsia" w:ascii="宋体" w:hAnsi="宋体"/>
          <w:color w:val="000000"/>
          <w:szCs w:val="21"/>
        </w:rPr>
        <w:t>招标文件</w:t>
      </w:r>
      <w:r>
        <w:rPr>
          <w:rFonts w:ascii="宋体" w:hAnsi="宋体"/>
          <w:color w:val="000000"/>
          <w:szCs w:val="21"/>
        </w:rPr>
        <w:t>要求</w:t>
      </w:r>
      <w:r>
        <w:rPr>
          <w:rFonts w:hint="eastAsia" w:ascii="宋体" w:hAnsi="宋体"/>
          <w:color w:val="000000"/>
          <w:szCs w:val="21"/>
        </w:rPr>
        <w:t>或允许</w:t>
      </w:r>
      <w:r>
        <w:rPr>
          <w:rFonts w:ascii="宋体" w:hAnsi="宋体"/>
          <w:color w:val="000000"/>
          <w:szCs w:val="21"/>
        </w:rPr>
        <w:t>报优惠</w:t>
      </w:r>
      <w:r>
        <w:rPr>
          <w:rFonts w:hint="eastAsia" w:ascii="宋体" w:hAnsi="宋体"/>
          <w:color w:val="000000"/>
          <w:szCs w:val="21"/>
        </w:rPr>
        <w:t>价</w:t>
      </w:r>
      <w:r>
        <w:rPr>
          <w:rFonts w:ascii="宋体" w:hAnsi="宋体"/>
          <w:color w:val="000000"/>
          <w:szCs w:val="21"/>
        </w:rPr>
        <w:t>时，应答人才可以报出，</w:t>
      </w:r>
      <w:r>
        <w:rPr>
          <w:rFonts w:hint="eastAsia" w:ascii="宋体" w:hAnsi="宋体"/>
          <w:color w:val="000000"/>
          <w:szCs w:val="21"/>
        </w:rPr>
        <w:t>并应当折算到单</w:t>
      </w:r>
      <w:r>
        <w:rPr>
          <w:rFonts w:ascii="宋体" w:hAnsi="宋体"/>
          <w:color w:val="000000"/>
          <w:szCs w:val="21"/>
        </w:rPr>
        <w:t>价</w:t>
      </w:r>
      <w:r>
        <w:rPr>
          <w:rFonts w:hint="eastAsia" w:ascii="宋体" w:hAnsi="宋体"/>
          <w:color w:val="000000"/>
          <w:szCs w:val="21"/>
        </w:rPr>
        <w:t>中</w:t>
      </w:r>
      <w:r>
        <w:rPr>
          <w:rFonts w:ascii="宋体" w:hAnsi="宋体"/>
          <w:color w:val="000000"/>
          <w:szCs w:val="21"/>
        </w:rPr>
        <w:t>，不符合要求的优惠报价将不被采纳。</w:t>
      </w:r>
      <w:r>
        <w:rPr>
          <w:rFonts w:hint="eastAsia" w:ascii="宋体" w:hAnsi="宋体"/>
          <w:color w:val="000000"/>
          <w:szCs w:val="21"/>
        </w:rPr>
        <w:t>应答人优惠报价的数额，公开唱价时也必须当众宣读。见前附表。</w:t>
      </w:r>
    </w:p>
    <w:p w14:paraId="4707D3EA">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招标人不接受应答人的任何低于成本报价的不正当竞争方式。</w:t>
      </w:r>
    </w:p>
    <w:p w14:paraId="6E43F0EF">
      <w:pPr>
        <w:pStyle w:val="7"/>
        <w:adjustRightInd w:val="0"/>
        <w:snapToGrid w:val="0"/>
        <w:spacing w:line="360" w:lineRule="auto"/>
        <w:rPr>
          <w:rFonts w:ascii="宋体" w:hAnsi="宋体" w:eastAsia="宋体"/>
          <w:sz w:val="21"/>
          <w:szCs w:val="21"/>
        </w:rPr>
      </w:pPr>
      <w:bookmarkStart w:id="74" w:name="_Toc226969292"/>
      <w:bookmarkStart w:id="75" w:name="_Toc227057898"/>
      <w:bookmarkStart w:id="76" w:name="_Toc107822495"/>
      <w:bookmarkStart w:id="77" w:name="_Toc15570"/>
      <w:bookmarkStart w:id="78" w:name="_Toc105770510"/>
      <w:r>
        <w:rPr>
          <w:rFonts w:ascii="宋体" w:hAnsi="宋体" w:eastAsia="宋体"/>
          <w:sz w:val="21"/>
          <w:szCs w:val="21"/>
        </w:rPr>
        <w:t>应答报价</w:t>
      </w:r>
      <w:bookmarkEnd w:id="74"/>
      <w:bookmarkEnd w:id="75"/>
      <w:bookmarkEnd w:id="76"/>
      <w:bookmarkEnd w:id="77"/>
      <w:bookmarkEnd w:id="78"/>
    </w:p>
    <w:p w14:paraId="1F252650">
      <w:pPr>
        <w:adjustRightInd w:val="0"/>
        <w:snapToGrid w:val="0"/>
        <w:spacing w:line="360" w:lineRule="auto"/>
        <w:ind w:left="708" w:hanging="707" w:hangingChars="337"/>
        <w:rPr>
          <w:rFonts w:ascii="宋体" w:hAnsi="宋体"/>
          <w:color w:val="000000"/>
          <w:szCs w:val="21"/>
        </w:rPr>
      </w:pPr>
      <w:r>
        <w:rPr>
          <w:rFonts w:hint="eastAsia" w:ascii="宋体" w:hAnsi="宋体"/>
          <w:color w:val="000000"/>
          <w:szCs w:val="21"/>
        </w:rPr>
        <w:t>2.14.1招标人设有最高限价的，应答人的应答报价不得超过最高限价，否则其应答将被否决。最高限价或者其计算方法见应答人须知前附表。</w:t>
      </w:r>
    </w:p>
    <w:p w14:paraId="62CC392B">
      <w:pPr>
        <w:adjustRightInd w:val="0"/>
        <w:snapToGrid w:val="0"/>
        <w:spacing w:line="360" w:lineRule="auto"/>
        <w:rPr>
          <w:rFonts w:ascii="宋体" w:hAnsi="宋体"/>
          <w:color w:val="000000"/>
          <w:szCs w:val="21"/>
        </w:rPr>
      </w:pPr>
      <w:r>
        <w:rPr>
          <w:rFonts w:hint="eastAsia" w:ascii="宋体" w:hAnsi="宋体"/>
          <w:color w:val="000000"/>
          <w:szCs w:val="21"/>
        </w:rPr>
        <w:t>2.14.2报价要求</w:t>
      </w:r>
      <w:r>
        <w:rPr>
          <w:rFonts w:ascii="宋体" w:hAnsi="宋体"/>
          <w:color w:val="000000"/>
          <w:szCs w:val="21"/>
        </w:rPr>
        <w:t>见</w:t>
      </w:r>
      <w:r>
        <w:rPr>
          <w:rFonts w:hint="eastAsia" w:ascii="宋体" w:hAnsi="宋体"/>
          <w:color w:val="000000"/>
          <w:szCs w:val="21"/>
        </w:rPr>
        <w:t>应答人须知前附表。</w:t>
      </w:r>
    </w:p>
    <w:p w14:paraId="4A444740">
      <w:pPr>
        <w:pStyle w:val="7"/>
        <w:adjustRightInd w:val="0"/>
        <w:snapToGrid w:val="0"/>
        <w:spacing w:line="360" w:lineRule="auto"/>
        <w:rPr>
          <w:rFonts w:ascii="宋体" w:hAnsi="宋体" w:eastAsia="宋体"/>
          <w:sz w:val="21"/>
          <w:szCs w:val="21"/>
        </w:rPr>
      </w:pPr>
      <w:bookmarkStart w:id="79" w:name="_Toc107822499"/>
      <w:bookmarkStart w:id="80" w:name="_Toc105770511"/>
      <w:bookmarkStart w:id="81" w:name="_Toc6447"/>
      <w:bookmarkStart w:id="82" w:name="_Toc226969295"/>
      <w:bookmarkStart w:id="83" w:name="_Toc227057901"/>
      <w:r>
        <w:rPr>
          <w:rFonts w:ascii="宋体" w:hAnsi="宋体" w:eastAsia="宋体"/>
          <w:sz w:val="21"/>
          <w:szCs w:val="21"/>
        </w:rPr>
        <w:t>应答保证金</w:t>
      </w:r>
      <w:bookmarkEnd w:id="79"/>
      <w:bookmarkEnd w:id="80"/>
      <w:bookmarkEnd w:id="81"/>
      <w:bookmarkEnd w:id="82"/>
      <w:bookmarkEnd w:id="83"/>
    </w:p>
    <w:p w14:paraId="4D77CB56">
      <w:pPr>
        <w:numPr>
          <w:ilvl w:val="0"/>
          <w:numId w:val="11"/>
        </w:numPr>
        <w:tabs>
          <w:tab w:val="left" w:pos="709"/>
          <w:tab w:val="clear" w:pos="0"/>
        </w:tabs>
        <w:adjustRightInd w:val="0"/>
        <w:snapToGrid w:val="0"/>
        <w:spacing w:line="360" w:lineRule="auto"/>
        <w:ind w:left="709" w:hanging="709"/>
        <w:rPr>
          <w:rFonts w:ascii="宋体" w:hAnsi="宋体"/>
          <w:color w:val="000000"/>
          <w:szCs w:val="21"/>
        </w:rPr>
      </w:pPr>
      <w:r>
        <w:rPr>
          <w:rFonts w:hint="eastAsia" w:ascii="宋体" w:hAnsi="宋体"/>
          <w:color w:val="000000"/>
          <w:szCs w:val="21"/>
        </w:rPr>
        <w:t>招标人</w:t>
      </w:r>
      <w:r>
        <w:rPr>
          <w:rFonts w:ascii="宋体" w:hAnsi="宋体"/>
          <w:color w:val="000000"/>
          <w:szCs w:val="21"/>
        </w:rPr>
        <w:t>要求应答人提交应答保证金的，应答人必须在提交应答文件的同时，按照</w:t>
      </w:r>
      <w:r>
        <w:rPr>
          <w:rFonts w:hint="eastAsia" w:ascii="宋体" w:hAnsi="宋体"/>
          <w:color w:val="000000"/>
          <w:szCs w:val="21"/>
        </w:rPr>
        <w:t>招标文件</w:t>
      </w:r>
      <w:r>
        <w:rPr>
          <w:rFonts w:ascii="宋体" w:hAnsi="宋体"/>
          <w:color w:val="000000"/>
          <w:szCs w:val="21"/>
        </w:rPr>
        <w:t>前附表的规定提交应答保证金。应答保证金一般不超过</w:t>
      </w:r>
      <w:r>
        <w:rPr>
          <w:rFonts w:hint="eastAsia" w:ascii="宋体" w:hAnsi="宋体"/>
          <w:color w:val="000000"/>
          <w:szCs w:val="21"/>
        </w:rPr>
        <w:t>招标项目估算价的</w:t>
      </w:r>
      <w:r>
        <w:rPr>
          <w:rFonts w:ascii="宋体" w:hAnsi="宋体"/>
          <w:color w:val="000000"/>
          <w:szCs w:val="21"/>
        </w:rPr>
        <w:t>2%，本次</w:t>
      </w:r>
      <w:r>
        <w:rPr>
          <w:rFonts w:hint="eastAsia" w:ascii="宋体" w:hAnsi="宋体"/>
          <w:color w:val="000000"/>
          <w:szCs w:val="21"/>
        </w:rPr>
        <w:t>招标</w:t>
      </w:r>
      <w:r>
        <w:rPr>
          <w:rFonts w:ascii="宋体" w:hAnsi="宋体"/>
          <w:color w:val="000000"/>
          <w:szCs w:val="21"/>
        </w:rPr>
        <w:t>的应答保证金数额见前附表。</w:t>
      </w:r>
    </w:p>
    <w:p w14:paraId="062F5A13">
      <w:pPr>
        <w:tabs>
          <w:tab w:val="left" w:pos="709"/>
        </w:tabs>
        <w:adjustRightInd w:val="0"/>
        <w:snapToGrid w:val="0"/>
        <w:spacing w:line="360" w:lineRule="auto"/>
        <w:ind w:firstLine="718" w:firstLineChars="342"/>
        <w:rPr>
          <w:rFonts w:ascii="宋体" w:hAnsi="宋体"/>
          <w:color w:val="000000"/>
          <w:szCs w:val="21"/>
        </w:rPr>
      </w:pPr>
      <w:r>
        <w:rPr>
          <w:rFonts w:ascii="宋体" w:hAnsi="宋体"/>
          <w:color w:val="000000"/>
          <w:szCs w:val="21"/>
        </w:rPr>
        <w:t>未提交应答保证金的应答文件将</w:t>
      </w:r>
      <w:r>
        <w:rPr>
          <w:rFonts w:hint="eastAsia" w:ascii="宋体" w:hAnsi="宋体"/>
          <w:color w:val="000000"/>
          <w:szCs w:val="21"/>
        </w:rPr>
        <w:t>被否决</w:t>
      </w:r>
      <w:r>
        <w:rPr>
          <w:rFonts w:ascii="宋体" w:hAnsi="宋体"/>
          <w:color w:val="000000"/>
          <w:szCs w:val="21"/>
        </w:rPr>
        <w:t>。</w:t>
      </w:r>
    </w:p>
    <w:p w14:paraId="2320BF2D">
      <w:pPr>
        <w:numPr>
          <w:ilvl w:val="0"/>
          <w:numId w:val="11"/>
        </w:numPr>
        <w:tabs>
          <w:tab w:val="left" w:pos="709"/>
          <w:tab w:val="clear" w:pos="0"/>
        </w:tabs>
        <w:adjustRightInd w:val="0"/>
        <w:snapToGrid w:val="0"/>
        <w:spacing w:line="360" w:lineRule="auto"/>
        <w:ind w:left="709" w:hanging="703"/>
        <w:rPr>
          <w:rFonts w:ascii="宋体" w:hAnsi="宋体"/>
          <w:color w:val="000000" w:themeColor="text1"/>
          <w:szCs w:val="21"/>
          <w14:textFill>
            <w14:solidFill>
              <w14:schemeClr w14:val="tx1"/>
            </w14:solidFill>
          </w14:textFill>
        </w:rPr>
      </w:pPr>
      <w:r>
        <w:rPr>
          <w:rFonts w:hint="eastAsia" w:ascii="宋体" w:hAnsi="宋体"/>
          <w:color w:val="000000"/>
          <w:szCs w:val="21"/>
        </w:rPr>
        <w:t>招标人</w:t>
      </w:r>
      <w:r>
        <w:rPr>
          <w:rFonts w:ascii="宋体" w:hAnsi="宋体"/>
          <w:color w:val="000000"/>
          <w:szCs w:val="21"/>
        </w:rPr>
        <w:t>可以规定应答保证金是以现金、支票、银行汇票、中国注册的银行出具的银行保函等方式，应答保证</w:t>
      </w:r>
      <w:r>
        <w:rPr>
          <w:rFonts w:ascii="宋体" w:hAnsi="宋体"/>
          <w:color w:val="000000" w:themeColor="text1"/>
          <w:szCs w:val="21"/>
          <w14:textFill>
            <w14:solidFill>
              <w14:schemeClr w14:val="tx1"/>
            </w14:solidFill>
          </w14:textFill>
        </w:rPr>
        <w:t>金有效期应与应答有效期一致。以现金或者支票形式提交的应答保证金应当从</w:t>
      </w:r>
      <w:r>
        <w:rPr>
          <w:rFonts w:hint="eastAsia" w:ascii="宋体" w:hAnsi="宋体"/>
          <w:color w:val="000000" w:themeColor="text1"/>
          <w:szCs w:val="21"/>
          <w14:textFill>
            <w14:solidFill>
              <w14:schemeClr w14:val="tx1"/>
            </w14:solidFill>
          </w14:textFill>
        </w:rPr>
        <w:t>应答人的</w:t>
      </w:r>
      <w:r>
        <w:rPr>
          <w:rFonts w:ascii="宋体" w:hAnsi="宋体"/>
          <w:color w:val="000000" w:themeColor="text1"/>
          <w:szCs w:val="21"/>
          <w14:textFill>
            <w14:solidFill>
              <w14:schemeClr w14:val="tx1"/>
            </w14:solidFill>
          </w14:textFill>
        </w:rPr>
        <w:t>基本账户转出</w:t>
      </w:r>
      <w:r>
        <w:rPr>
          <w:rFonts w:hint="eastAsia" w:ascii="宋体" w:hAnsi="宋体"/>
          <w:color w:val="000000" w:themeColor="text1"/>
          <w:szCs w:val="21"/>
          <w14:textFill>
            <w14:solidFill>
              <w14:schemeClr w14:val="tx1"/>
            </w14:solidFill>
          </w14:textFill>
        </w:rPr>
        <w:t>。</w:t>
      </w:r>
    </w:p>
    <w:p w14:paraId="4F4925FA">
      <w:pPr>
        <w:numPr>
          <w:ilvl w:val="0"/>
          <w:numId w:val="11"/>
        </w:numPr>
        <w:tabs>
          <w:tab w:val="left" w:pos="709"/>
          <w:tab w:val="clear" w:pos="0"/>
        </w:tabs>
        <w:adjustRightInd w:val="0"/>
        <w:snapToGrid w:val="0"/>
        <w:spacing w:line="360" w:lineRule="auto"/>
        <w:ind w:left="709" w:hanging="703"/>
        <w:rPr>
          <w:rFonts w:ascii="宋体" w:hAnsi="宋体"/>
          <w:color w:val="000000"/>
          <w:szCs w:val="21"/>
        </w:rPr>
      </w:pPr>
      <w:r>
        <w:rPr>
          <w:rFonts w:hint="eastAsia" w:ascii="宋体" w:hAnsi="宋体"/>
          <w:color w:val="000000"/>
          <w:szCs w:val="21"/>
        </w:rPr>
        <w:t>招标</w:t>
      </w:r>
      <w:r>
        <w:rPr>
          <w:rFonts w:ascii="宋体" w:hAnsi="宋体"/>
          <w:color w:val="000000"/>
          <w:szCs w:val="21"/>
        </w:rPr>
        <w:t>人最迟应当在书面合同签订后5日内向中选人和未中选的应答人退还应答保证金及银行同期存款利息</w:t>
      </w:r>
      <w:r>
        <w:rPr>
          <w:rFonts w:hint="eastAsia" w:ascii="宋体" w:hAnsi="宋体"/>
          <w:color w:val="000000"/>
          <w:szCs w:val="21"/>
        </w:rPr>
        <w:t>（当应答人使用银行担保函或其他第三方信用担保等不发生银行存款利息的保证金时，不存在利息退还问题）</w:t>
      </w:r>
      <w:r>
        <w:rPr>
          <w:rFonts w:ascii="宋体" w:hAnsi="宋体"/>
          <w:color w:val="000000"/>
          <w:szCs w:val="21"/>
        </w:rPr>
        <w:t>。</w:t>
      </w:r>
    </w:p>
    <w:p w14:paraId="37DDF3F0">
      <w:pPr>
        <w:numPr>
          <w:ilvl w:val="0"/>
          <w:numId w:val="11"/>
        </w:numPr>
        <w:tabs>
          <w:tab w:val="left" w:pos="709"/>
          <w:tab w:val="clear" w:pos="0"/>
        </w:tabs>
        <w:adjustRightInd w:val="0"/>
        <w:snapToGrid w:val="0"/>
        <w:spacing w:line="360" w:lineRule="auto"/>
        <w:ind w:left="709" w:hanging="703"/>
        <w:rPr>
          <w:rFonts w:ascii="宋体" w:hAnsi="宋体"/>
          <w:color w:val="000000"/>
          <w:szCs w:val="21"/>
        </w:rPr>
      </w:pPr>
      <w:r>
        <w:rPr>
          <w:rFonts w:ascii="宋体" w:hAnsi="宋体"/>
          <w:color w:val="000000"/>
          <w:szCs w:val="21"/>
        </w:rPr>
        <w:t xml:space="preserve">下列任何情况发生时，应答保证金将不予退还： </w:t>
      </w:r>
    </w:p>
    <w:p w14:paraId="5C071A86">
      <w:pPr>
        <w:numPr>
          <w:ilvl w:val="0"/>
          <w:numId w:val="12"/>
        </w:numPr>
        <w:adjustRightInd w:val="0"/>
        <w:snapToGrid w:val="0"/>
        <w:spacing w:line="360" w:lineRule="auto"/>
        <w:rPr>
          <w:rFonts w:ascii="宋体" w:hAnsi="宋体"/>
          <w:color w:val="000000"/>
          <w:szCs w:val="21"/>
        </w:rPr>
      </w:pPr>
      <w:r>
        <w:rPr>
          <w:rFonts w:ascii="宋体" w:hAnsi="宋体"/>
          <w:color w:val="000000"/>
          <w:szCs w:val="21"/>
        </w:rPr>
        <w:t>应答人在</w:t>
      </w:r>
      <w:r>
        <w:rPr>
          <w:rFonts w:hint="eastAsia" w:ascii="宋体" w:hAnsi="宋体"/>
          <w:color w:val="000000"/>
          <w:szCs w:val="21"/>
        </w:rPr>
        <w:t>招标文件</w:t>
      </w:r>
      <w:r>
        <w:rPr>
          <w:rFonts w:ascii="宋体" w:hAnsi="宋体"/>
          <w:color w:val="000000"/>
          <w:szCs w:val="21"/>
        </w:rPr>
        <w:t>中规定的应答有效期内撤回应答；</w:t>
      </w:r>
    </w:p>
    <w:p w14:paraId="56A398F3">
      <w:pPr>
        <w:numPr>
          <w:ilvl w:val="0"/>
          <w:numId w:val="12"/>
        </w:numPr>
        <w:adjustRightInd w:val="0"/>
        <w:snapToGrid w:val="0"/>
        <w:spacing w:line="360" w:lineRule="auto"/>
        <w:rPr>
          <w:rFonts w:ascii="宋体" w:hAnsi="宋体"/>
          <w:color w:val="000000"/>
          <w:szCs w:val="21"/>
        </w:rPr>
      </w:pPr>
      <w:r>
        <w:rPr>
          <w:rFonts w:ascii="宋体" w:hAnsi="宋体"/>
          <w:color w:val="000000"/>
          <w:szCs w:val="21"/>
        </w:rPr>
        <w:t>应答人在应答文件中提供虚假的文件和材料，意图骗取中选的；</w:t>
      </w:r>
    </w:p>
    <w:p w14:paraId="53AA8A96">
      <w:pPr>
        <w:numPr>
          <w:ilvl w:val="0"/>
          <w:numId w:val="12"/>
        </w:numPr>
        <w:adjustRightInd w:val="0"/>
        <w:snapToGrid w:val="0"/>
        <w:spacing w:line="360" w:lineRule="auto"/>
        <w:rPr>
          <w:rFonts w:ascii="宋体" w:hAnsi="宋体"/>
          <w:color w:val="000000"/>
          <w:szCs w:val="21"/>
        </w:rPr>
      </w:pPr>
      <w:r>
        <w:rPr>
          <w:rFonts w:ascii="宋体" w:hAnsi="宋体"/>
          <w:color w:val="000000"/>
          <w:szCs w:val="21"/>
        </w:rPr>
        <w:t>中选人未能在规定期限内提交履约保证金或签订合同协议；</w:t>
      </w:r>
    </w:p>
    <w:p w14:paraId="3EFC5B2A">
      <w:pPr>
        <w:numPr>
          <w:ilvl w:val="0"/>
          <w:numId w:val="12"/>
        </w:numPr>
        <w:adjustRightInd w:val="0"/>
        <w:snapToGrid w:val="0"/>
        <w:spacing w:line="360" w:lineRule="auto"/>
        <w:rPr>
          <w:rFonts w:ascii="宋体" w:hAnsi="宋体"/>
          <w:color w:val="000000"/>
          <w:szCs w:val="21"/>
        </w:rPr>
      </w:pPr>
      <w:r>
        <w:rPr>
          <w:rFonts w:ascii="宋体" w:hAnsi="宋体"/>
          <w:color w:val="000000"/>
          <w:szCs w:val="21"/>
        </w:rPr>
        <w:t>中选人未按规定交付</w:t>
      </w:r>
      <w:r>
        <w:rPr>
          <w:rFonts w:hint="eastAsia" w:ascii="宋体" w:hAnsi="宋体"/>
          <w:color w:val="000000"/>
          <w:szCs w:val="21"/>
        </w:rPr>
        <w:t>招标</w:t>
      </w:r>
      <w:r>
        <w:rPr>
          <w:rFonts w:ascii="宋体" w:hAnsi="宋体"/>
          <w:color w:val="000000"/>
          <w:szCs w:val="21"/>
        </w:rPr>
        <w:t>服务费；</w:t>
      </w:r>
    </w:p>
    <w:p w14:paraId="24FE494A">
      <w:pPr>
        <w:numPr>
          <w:ilvl w:val="0"/>
          <w:numId w:val="12"/>
        </w:numPr>
        <w:adjustRightInd w:val="0"/>
        <w:snapToGrid w:val="0"/>
        <w:spacing w:line="360" w:lineRule="auto"/>
        <w:rPr>
          <w:rFonts w:ascii="宋体" w:hAnsi="宋体"/>
          <w:color w:val="000000"/>
          <w:szCs w:val="21"/>
        </w:rPr>
      </w:pPr>
      <w:r>
        <w:rPr>
          <w:rFonts w:hint="eastAsia" w:ascii="宋体" w:hAnsi="宋体"/>
          <w:color w:val="000000"/>
          <w:szCs w:val="21"/>
        </w:rPr>
        <w:t>招标文件中其他规定。</w:t>
      </w:r>
    </w:p>
    <w:p w14:paraId="582BC68C">
      <w:pPr>
        <w:pStyle w:val="7"/>
        <w:adjustRightInd w:val="0"/>
        <w:snapToGrid w:val="0"/>
        <w:spacing w:line="360" w:lineRule="auto"/>
        <w:rPr>
          <w:rFonts w:ascii="宋体" w:hAnsi="宋体" w:eastAsia="宋体"/>
          <w:sz w:val="21"/>
          <w:szCs w:val="21"/>
        </w:rPr>
      </w:pPr>
      <w:bookmarkStart w:id="84" w:name="_Toc18395"/>
      <w:bookmarkStart w:id="85" w:name="_Toc226969296"/>
      <w:bookmarkStart w:id="86" w:name="_Toc107822500"/>
      <w:bookmarkStart w:id="87" w:name="_Toc227057902"/>
      <w:bookmarkStart w:id="88" w:name="_Toc105770512"/>
      <w:r>
        <w:rPr>
          <w:rFonts w:ascii="宋体" w:hAnsi="宋体" w:eastAsia="宋体"/>
          <w:sz w:val="21"/>
          <w:szCs w:val="21"/>
        </w:rPr>
        <w:t>应答文件的有效期</w:t>
      </w:r>
      <w:bookmarkEnd w:id="84"/>
      <w:bookmarkEnd w:id="85"/>
      <w:bookmarkEnd w:id="86"/>
      <w:bookmarkEnd w:id="87"/>
      <w:bookmarkEnd w:id="88"/>
    </w:p>
    <w:p w14:paraId="4415731F">
      <w:pPr>
        <w:numPr>
          <w:ilvl w:val="0"/>
          <w:numId w:val="13"/>
        </w:numPr>
        <w:tabs>
          <w:tab w:val="left" w:pos="900"/>
          <w:tab w:val="clear" w:pos="0"/>
        </w:tabs>
        <w:adjustRightInd w:val="0"/>
        <w:snapToGrid w:val="0"/>
        <w:spacing w:line="360" w:lineRule="auto"/>
        <w:ind w:left="902" w:hanging="902"/>
        <w:rPr>
          <w:rFonts w:ascii="宋体" w:hAnsi="宋体"/>
          <w:color w:val="000000"/>
          <w:szCs w:val="21"/>
        </w:rPr>
      </w:pPr>
      <w:r>
        <w:rPr>
          <w:rFonts w:ascii="宋体" w:hAnsi="宋体"/>
          <w:color w:val="000000"/>
          <w:szCs w:val="21"/>
        </w:rPr>
        <w:t>应答有效期</w:t>
      </w:r>
      <w:r>
        <w:rPr>
          <w:rFonts w:hint="eastAsia" w:ascii="宋体" w:hAnsi="宋体"/>
          <w:color w:val="000000"/>
          <w:szCs w:val="21"/>
        </w:rPr>
        <w:t>的具体时间见招标文件前附表。在此期间，应答人不得要求撤回或修改其应答文件。</w:t>
      </w:r>
      <w:r>
        <w:rPr>
          <w:rFonts w:ascii="宋体" w:hAnsi="宋体"/>
          <w:color w:val="000000"/>
          <w:szCs w:val="21"/>
        </w:rPr>
        <w:t>应答有效期不满足要求的应答将被视为非实质性响应应答。</w:t>
      </w:r>
    </w:p>
    <w:p w14:paraId="51186BE3">
      <w:pPr>
        <w:numPr>
          <w:ilvl w:val="0"/>
          <w:numId w:val="13"/>
        </w:numPr>
        <w:tabs>
          <w:tab w:val="left" w:pos="900"/>
          <w:tab w:val="clear" w:pos="0"/>
        </w:tabs>
        <w:adjustRightInd w:val="0"/>
        <w:snapToGrid w:val="0"/>
        <w:spacing w:line="360" w:lineRule="auto"/>
        <w:ind w:left="902" w:hanging="902"/>
        <w:rPr>
          <w:rFonts w:ascii="宋体" w:hAnsi="宋体"/>
          <w:color w:val="000000"/>
          <w:szCs w:val="21"/>
        </w:rPr>
      </w:pPr>
      <w:r>
        <w:rPr>
          <w:rFonts w:hint="eastAsia" w:ascii="宋体" w:hAnsi="宋体"/>
          <w:color w:val="000000"/>
          <w:szCs w:val="21"/>
        </w:rPr>
        <w:t>在原定应答有效期满之前，如果出现特殊情况，招标人或招标机构可以书面形式向应答人提出延长应答有效期的要求。应答人须以书面形式予以答复，应答人可以拒绝这种要求而不被没收应答保证金。同意延长应答有效期的应答人不允许修改他的应答文件，但需要相应地延长应答保证金的有效期，在延长期内本须知关于应答保证金的退还与没收的规定仍然适用。</w:t>
      </w:r>
    </w:p>
    <w:p w14:paraId="2175059E">
      <w:pPr>
        <w:pStyle w:val="7"/>
        <w:adjustRightInd w:val="0"/>
        <w:snapToGrid w:val="0"/>
        <w:spacing w:line="360" w:lineRule="auto"/>
        <w:rPr>
          <w:rFonts w:ascii="宋体" w:hAnsi="宋体" w:eastAsia="宋体"/>
          <w:sz w:val="21"/>
          <w:szCs w:val="21"/>
        </w:rPr>
      </w:pPr>
      <w:bookmarkStart w:id="89" w:name="_Toc226969297"/>
      <w:bookmarkStart w:id="90" w:name="_Toc105770513"/>
      <w:bookmarkStart w:id="91" w:name="_Toc3455"/>
      <w:bookmarkStart w:id="92" w:name="_Toc227057903"/>
      <w:bookmarkStart w:id="93" w:name="_Toc107822501"/>
      <w:r>
        <w:rPr>
          <w:rFonts w:hint="eastAsia" w:ascii="宋体" w:hAnsi="宋体" w:eastAsia="宋体"/>
          <w:sz w:val="21"/>
          <w:szCs w:val="21"/>
        </w:rPr>
        <w:t>备选应答方案</w:t>
      </w:r>
      <w:bookmarkEnd w:id="89"/>
      <w:bookmarkEnd w:id="90"/>
      <w:bookmarkEnd w:id="91"/>
      <w:bookmarkEnd w:id="92"/>
    </w:p>
    <w:p w14:paraId="2BD7A028">
      <w:pPr>
        <w:pStyle w:val="9"/>
        <w:snapToGrid w:val="0"/>
        <w:spacing w:line="360" w:lineRule="auto"/>
        <w:ind w:firstLine="0"/>
        <w:rPr>
          <w:rFonts w:ascii="宋体" w:hAnsi="宋体" w:eastAsia="宋体"/>
          <w:color w:val="000000"/>
          <w:sz w:val="21"/>
          <w:szCs w:val="21"/>
        </w:rPr>
      </w:pPr>
      <w:r>
        <w:rPr>
          <w:rFonts w:ascii="宋体" w:hAnsi="宋体" w:eastAsia="宋体"/>
          <w:color w:val="000000"/>
          <w:sz w:val="21"/>
          <w:szCs w:val="21"/>
        </w:rPr>
        <w:t>2.17.1  除应答人须知前附表另有规定外，应答人不得递交备选应答方案。</w:t>
      </w:r>
    </w:p>
    <w:p w14:paraId="462244AC">
      <w:pPr>
        <w:pStyle w:val="9"/>
        <w:snapToGrid w:val="0"/>
        <w:spacing w:line="360" w:lineRule="auto"/>
        <w:ind w:left="785" w:hanging="785" w:hangingChars="374"/>
        <w:rPr>
          <w:rFonts w:ascii="宋体" w:hAnsi="宋体" w:eastAsia="宋体"/>
          <w:color w:val="000000"/>
          <w:sz w:val="21"/>
          <w:szCs w:val="21"/>
        </w:rPr>
      </w:pPr>
      <w:r>
        <w:rPr>
          <w:rFonts w:ascii="宋体" w:hAnsi="宋体" w:eastAsia="宋体"/>
          <w:color w:val="000000"/>
          <w:sz w:val="21"/>
          <w:szCs w:val="21"/>
        </w:rPr>
        <w:t>2.17.2  允许应答人递交备选应答方案的，只有符合</w:t>
      </w:r>
      <w:r>
        <w:rPr>
          <w:rFonts w:hint="eastAsia" w:ascii="宋体" w:hAnsi="宋体" w:eastAsia="宋体"/>
          <w:color w:val="000000"/>
          <w:sz w:val="21"/>
          <w:szCs w:val="21"/>
        </w:rPr>
        <w:t>招标文件</w:t>
      </w:r>
      <w:r>
        <w:rPr>
          <w:rFonts w:ascii="宋体" w:hAnsi="宋体" w:eastAsia="宋体"/>
          <w:color w:val="000000"/>
          <w:sz w:val="21"/>
          <w:szCs w:val="21"/>
        </w:rPr>
        <w:t>要求且评审价最低或综合评分最高而被推荐为中选候选人的应答人所递交的备选应答方案的，可予以考虑。评审委员会认为其备选应答方案优于其按照</w:t>
      </w:r>
      <w:r>
        <w:rPr>
          <w:rFonts w:hint="eastAsia" w:ascii="宋体" w:hAnsi="宋体" w:eastAsia="宋体"/>
          <w:color w:val="000000"/>
          <w:sz w:val="21"/>
          <w:szCs w:val="21"/>
        </w:rPr>
        <w:t>招标文件</w:t>
      </w:r>
      <w:r>
        <w:rPr>
          <w:rFonts w:ascii="宋体" w:hAnsi="宋体" w:eastAsia="宋体"/>
          <w:color w:val="000000"/>
          <w:sz w:val="21"/>
          <w:szCs w:val="21"/>
        </w:rPr>
        <w:t>要求编制的应答方案的，</w:t>
      </w:r>
      <w:r>
        <w:rPr>
          <w:rFonts w:hint="eastAsia" w:ascii="宋体" w:hAnsi="宋体" w:eastAsia="宋体"/>
          <w:color w:val="000000"/>
          <w:sz w:val="21"/>
          <w:szCs w:val="21"/>
        </w:rPr>
        <w:t>招标人</w:t>
      </w:r>
      <w:r>
        <w:rPr>
          <w:rFonts w:ascii="宋体" w:hAnsi="宋体" w:eastAsia="宋体"/>
          <w:color w:val="000000"/>
          <w:sz w:val="21"/>
          <w:szCs w:val="21"/>
        </w:rPr>
        <w:t>可以接受该备选应答方案。</w:t>
      </w:r>
    </w:p>
    <w:p w14:paraId="50953926">
      <w:pPr>
        <w:pStyle w:val="7"/>
        <w:adjustRightInd w:val="0"/>
        <w:snapToGrid w:val="0"/>
        <w:spacing w:line="360" w:lineRule="auto"/>
        <w:rPr>
          <w:rFonts w:ascii="宋体" w:hAnsi="宋体" w:eastAsia="宋体"/>
          <w:sz w:val="21"/>
          <w:szCs w:val="21"/>
        </w:rPr>
      </w:pPr>
      <w:bookmarkStart w:id="94" w:name="_Toc105770514"/>
      <w:bookmarkStart w:id="95" w:name="_Toc226969298"/>
      <w:bookmarkStart w:id="96" w:name="_Toc12491"/>
      <w:bookmarkStart w:id="97" w:name="_Toc227057904"/>
      <w:r>
        <w:rPr>
          <w:rFonts w:ascii="宋体" w:hAnsi="宋体" w:eastAsia="宋体"/>
          <w:sz w:val="21"/>
          <w:szCs w:val="21"/>
        </w:rPr>
        <w:t>应答文件的式样和签署</w:t>
      </w:r>
      <w:bookmarkEnd w:id="93"/>
      <w:bookmarkEnd w:id="94"/>
      <w:bookmarkEnd w:id="95"/>
      <w:bookmarkEnd w:id="96"/>
      <w:bookmarkEnd w:id="97"/>
      <w:r>
        <w:rPr>
          <w:rFonts w:ascii="宋体" w:hAnsi="宋体" w:eastAsia="宋体"/>
          <w:sz w:val="21"/>
          <w:szCs w:val="21"/>
        </w:rPr>
        <w:t xml:space="preserve"> </w:t>
      </w:r>
    </w:p>
    <w:bookmarkEnd w:id="17"/>
    <w:p w14:paraId="5602E0FC">
      <w:pPr>
        <w:numPr>
          <w:ilvl w:val="0"/>
          <w:numId w:val="14"/>
        </w:numPr>
        <w:tabs>
          <w:tab w:val="left" w:pos="709"/>
        </w:tabs>
        <w:adjustRightInd w:val="0"/>
        <w:snapToGrid w:val="0"/>
        <w:spacing w:line="360" w:lineRule="auto"/>
        <w:ind w:left="720" w:hanging="720"/>
        <w:rPr>
          <w:rFonts w:ascii="宋体" w:hAnsi="宋体"/>
          <w:color w:val="000000"/>
          <w:szCs w:val="21"/>
        </w:rPr>
      </w:pPr>
      <w:r>
        <w:rPr>
          <w:rFonts w:hint="eastAsia" w:ascii="宋体" w:hAnsi="宋体"/>
          <w:color w:val="000000"/>
          <w:szCs w:val="21"/>
        </w:rPr>
        <w:t>应答人按本须知前附表的规定，编制一份应答文件</w:t>
      </w:r>
      <w:r>
        <w:rPr>
          <w:rFonts w:ascii="宋体" w:hAnsi="宋体"/>
          <w:color w:val="000000"/>
          <w:szCs w:val="21"/>
        </w:rPr>
        <w:t>。</w:t>
      </w:r>
    </w:p>
    <w:p w14:paraId="23A048F4">
      <w:pPr>
        <w:numPr>
          <w:ilvl w:val="0"/>
          <w:numId w:val="14"/>
        </w:numPr>
        <w:tabs>
          <w:tab w:val="left" w:pos="709"/>
        </w:tabs>
        <w:adjustRightInd w:val="0"/>
        <w:snapToGrid w:val="0"/>
        <w:spacing w:line="360" w:lineRule="auto"/>
        <w:ind w:left="720" w:hanging="720"/>
        <w:rPr>
          <w:rFonts w:ascii="宋体" w:hAnsi="宋体"/>
          <w:color w:val="000000"/>
          <w:szCs w:val="21"/>
        </w:rPr>
      </w:pPr>
      <w:r>
        <w:rPr>
          <w:rFonts w:ascii="宋体" w:hAnsi="宋体"/>
          <w:color w:val="000000"/>
          <w:szCs w:val="21"/>
        </w:rPr>
        <w:t>应答文件</w:t>
      </w:r>
      <w:r>
        <w:rPr>
          <w:rFonts w:hint="eastAsia" w:ascii="宋体" w:hAnsi="宋体"/>
          <w:color w:val="000000"/>
          <w:szCs w:val="21"/>
        </w:rPr>
        <w:t>的</w:t>
      </w:r>
      <w:r>
        <w:rPr>
          <w:rFonts w:ascii="宋体" w:hAnsi="宋体"/>
          <w:color w:val="000000"/>
          <w:szCs w:val="21"/>
        </w:rPr>
        <w:t>签字盖章见应答</w:t>
      </w:r>
      <w:r>
        <w:rPr>
          <w:rFonts w:hint="eastAsia" w:ascii="宋体" w:hAnsi="宋体"/>
          <w:color w:val="000000"/>
          <w:szCs w:val="21"/>
        </w:rPr>
        <w:t>人须知</w:t>
      </w:r>
      <w:r>
        <w:rPr>
          <w:rFonts w:ascii="宋体" w:hAnsi="宋体"/>
          <w:color w:val="000000"/>
          <w:szCs w:val="21"/>
        </w:rPr>
        <w:t>前附表。</w:t>
      </w:r>
    </w:p>
    <w:p w14:paraId="4B001002">
      <w:pPr>
        <w:pStyle w:val="7"/>
        <w:adjustRightInd w:val="0"/>
        <w:snapToGrid w:val="0"/>
        <w:spacing w:line="360" w:lineRule="auto"/>
        <w:rPr>
          <w:rFonts w:ascii="宋体" w:hAnsi="宋体" w:eastAsia="宋体"/>
          <w:sz w:val="21"/>
          <w:szCs w:val="21"/>
        </w:rPr>
      </w:pPr>
      <w:bookmarkStart w:id="98" w:name="_Toc28340"/>
      <w:bookmarkStart w:id="99" w:name="_Toc488655847"/>
      <w:bookmarkStart w:id="100" w:name="_Toc227057905"/>
      <w:bookmarkStart w:id="101" w:name="_Toc226969299"/>
      <w:bookmarkStart w:id="102" w:name="_Toc105770515"/>
      <w:bookmarkStart w:id="103" w:name="_Toc107822502"/>
      <w:r>
        <w:rPr>
          <w:rFonts w:ascii="宋体" w:hAnsi="宋体" w:eastAsia="宋体"/>
          <w:sz w:val="21"/>
          <w:szCs w:val="21"/>
        </w:rPr>
        <w:t>应答文件的密封和标记</w:t>
      </w:r>
      <w:bookmarkEnd w:id="98"/>
      <w:bookmarkEnd w:id="99"/>
      <w:bookmarkEnd w:id="100"/>
      <w:bookmarkEnd w:id="101"/>
      <w:bookmarkEnd w:id="102"/>
      <w:bookmarkEnd w:id="103"/>
    </w:p>
    <w:p w14:paraId="2FB7DFE8">
      <w:pPr>
        <w:adjustRightInd w:val="0"/>
        <w:snapToGrid w:val="0"/>
        <w:spacing w:line="360" w:lineRule="auto"/>
        <w:ind w:firstLine="315" w:firstLineChars="150"/>
        <w:rPr>
          <w:rFonts w:ascii="宋体" w:hAnsi="宋体"/>
          <w:szCs w:val="21"/>
        </w:rPr>
      </w:pPr>
      <w:r>
        <w:rPr>
          <w:rFonts w:hint="eastAsia" w:ascii="宋体" w:hAnsi="宋体"/>
          <w:szCs w:val="21"/>
        </w:rPr>
        <w:t>见应答人须知前附表。</w:t>
      </w:r>
    </w:p>
    <w:p w14:paraId="653C5CEC">
      <w:pPr>
        <w:pStyle w:val="7"/>
        <w:adjustRightInd w:val="0"/>
        <w:snapToGrid w:val="0"/>
        <w:spacing w:line="360" w:lineRule="auto"/>
        <w:rPr>
          <w:rFonts w:ascii="宋体" w:hAnsi="宋体" w:eastAsia="宋体"/>
          <w:sz w:val="21"/>
          <w:szCs w:val="21"/>
        </w:rPr>
      </w:pPr>
      <w:bookmarkStart w:id="104" w:name="_Toc226969300"/>
      <w:bookmarkStart w:id="105" w:name="_Toc105770516"/>
      <w:bookmarkStart w:id="106" w:name="_Toc28737"/>
      <w:bookmarkStart w:id="107" w:name="_Toc227057906"/>
      <w:r>
        <w:rPr>
          <w:rFonts w:ascii="宋体" w:hAnsi="宋体" w:eastAsia="宋体"/>
          <w:sz w:val="21"/>
          <w:szCs w:val="21"/>
        </w:rPr>
        <w:t>应答</w:t>
      </w:r>
      <w:r>
        <w:rPr>
          <w:rFonts w:hint="eastAsia" w:ascii="宋体" w:hAnsi="宋体" w:eastAsia="宋体"/>
          <w:sz w:val="21"/>
          <w:szCs w:val="21"/>
        </w:rPr>
        <w:t>文件的提交、送达</w:t>
      </w:r>
      <w:bookmarkEnd w:id="104"/>
      <w:bookmarkEnd w:id="105"/>
      <w:bookmarkEnd w:id="106"/>
      <w:bookmarkEnd w:id="107"/>
    </w:p>
    <w:p w14:paraId="5E9334CA">
      <w:pPr>
        <w:numPr>
          <w:ilvl w:val="0"/>
          <w:numId w:val="15"/>
        </w:numPr>
        <w:tabs>
          <w:tab w:val="left" w:pos="709"/>
          <w:tab w:val="clear" w:pos="0"/>
        </w:tabs>
        <w:adjustRightInd w:val="0"/>
        <w:snapToGrid w:val="0"/>
        <w:spacing w:line="360" w:lineRule="auto"/>
        <w:ind w:left="720" w:hanging="720"/>
        <w:rPr>
          <w:rFonts w:ascii="宋体" w:hAnsi="宋体"/>
          <w:color w:val="000000"/>
          <w:szCs w:val="21"/>
        </w:rPr>
      </w:pPr>
      <w:bookmarkStart w:id="108" w:name="_Toc107822504"/>
      <w:bookmarkStart w:id="109" w:name="_Toc488655849"/>
      <w:r>
        <w:rPr>
          <w:rFonts w:hint="eastAsia" w:ascii="宋体" w:hAnsi="宋体"/>
          <w:szCs w:val="21"/>
        </w:rPr>
        <w:t>应答人</w:t>
      </w:r>
      <w:r>
        <w:rPr>
          <w:rFonts w:ascii="宋体" w:hAnsi="宋体"/>
          <w:szCs w:val="21"/>
        </w:rPr>
        <w:t>必须在应答须知前附表规定的</w:t>
      </w:r>
      <w:r>
        <w:rPr>
          <w:rFonts w:hint="eastAsia" w:ascii="宋体" w:hAnsi="宋体"/>
          <w:szCs w:val="21"/>
        </w:rPr>
        <w:t>应答</w:t>
      </w:r>
      <w:r>
        <w:rPr>
          <w:rFonts w:ascii="宋体" w:hAnsi="宋体"/>
          <w:szCs w:val="21"/>
        </w:rPr>
        <w:t>截止时间</w:t>
      </w:r>
      <w:r>
        <w:rPr>
          <w:rFonts w:hint="eastAsia" w:ascii="宋体" w:hAnsi="宋体"/>
          <w:szCs w:val="21"/>
        </w:rPr>
        <w:t>前</w:t>
      </w:r>
      <w:r>
        <w:rPr>
          <w:rFonts w:ascii="宋体" w:hAnsi="宋体"/>
          <w:szCs w:val="21"/>
        </w:rPr>
        <w:t>将应答文件提交至应答人须知前附表所述</w:t>
      </w:r>
      <w:r>
        <w:rPr>
          <w:rFonts w:hint="eastAsia" w:ascii="宋体" w:hAnsi="宋体"/>
          <w:szCs w:val="21"/>
        </w:rPr>
        <w:t>的系统。</w:t>
      </w:r>
    </w:p>
    <w:p w14:paraId="2A1783EA">
      <w:pPr>
        <w:numPr>
          <w:ilvl w:val="0"/>
          <w:numId w:val="15"/>
        </w:numPr>
        <w:tabs>
          <w:tab w:val="left" w:pos="709"/>
        </w:tabs>
        <w:adjustRightInd w:val="0"/>
        <w:snapToGrid w:val="0"/>
        <w:spacing w:line="360" w:lineRule="auto"/>
        <w:rPr>
          <w:rFonts w:ascii="宋体" w:hAnsi="宋体"/>
          <w:color w:val="000000"/>
          <w:szCs w:val="21"/>
        </w:rPr>
      </w:pPr>
      <w:r>
        <w:rPr>
          <w:rFonts w:hint="eastAsia" w:ascii="宋体" w:hAnsi="宋体"/>
          <w:szCs w:val="21"/>
        </w:rPr>
        <w:t>逾期</w:t>
      </w:r>
      <w:r>
        <w:rPr>
          <w:rFonts w:hint="eastAsia" w:ascii="宋体" w:hAnsi="宋体"/>
          <w:szCs w:val="21"/>
          <w:lang w:val="en-US" w:eastAsia="zh-CN"/>
        </w:rPr>
        <w:t>发送或未发送至</w:t>
      </w:r>
      <w:r>
        <w:rPr>
          <w:rFonts w:hint="eastAsia" w:ascii="宋体" w:hAnsi="宋体" w:cs="宋体"/>
          <w:kern w:val="0"/>
          <w:szCs w:val="21"/>
        </w:rPr>
        <w:t>“扬州北辰电气集团有限公司</w:t>
      </w:r>
      <w:r>
        <w:rPr>
          <w:rFonts w:hint="eastAsia" w:ascii="宋体" w:hAnsi="宋体" w:cs="宋体"/>
          <w:kern w:val="0"/>
          <w:szCs w:val="21"/>
          <w:lang w:val="en-US" w:eastAsia="zh-CN"/>
        </w:rPr>
        <w:t>指定邮箱</w:t>
      </w:r>
      <w:r>
        <w:rPr>
          <w:rFonts w:hint="eastAsia" w:ascii="宋体" w:hAnsi="宋体" w:cs="宋体"/>
          <w:kern w:val="0"/>
          <w:szCs w:val="21"/>
        </w:rPr>
        <w:t>”</w:t>
      </w:r>
      <w:r>
        <w:rPr>
          <w:rFonts w:hint="eastAsia" w:ascii="宋体" w:hAnsi="宋体"/>
          <w:szCs w:val="21"/>
        </w:rPr>
        <w:t>的应答文件，为无效应答，招标人不予受理。</w:t>
      </w:r>
    </w:p>
    <w:p w14:paraId="1E427E4A">
      <w:pPr>
        <w:numPr>
          <w:ilvl w:val="0"/>
          <w:numId w:val="15"/>
        </w:numPr>
        <w:tabs>
          <w:tab w:val="left" w:pos="709"/>
        </w:tabs>
        <w:adjustRightInd w:val="0"/>
        <w:snapToGrid w:val="0"/>
        <w:spacing w:line="360" w:lineRule="auto"/>
        <w:rPr>
          <w:rFonts w:ascii="宋体" w:hAnsi="宋体"/>
          <w:color w:val="000000"/>
          <w:szCs w:val="21"/>
        </w:rPr>
      </w:pPr>
      <w:r>
        <w:rPr>
          <w:rFonts w:hint="eastAsia" w:ascii="宋体" w:hAnsi="宋体"/>
          <w:color w:val="000000"/>
          <w:szCs w:val="21"/>
        </w:rPr>
        <w:t>电子版应答文件需通过word、excel、pdf等形式提交，并通过</w:t>
      </w:r>
      <w:r>
        <w:rPr>
          <w:rFonts w:hint="eastAsia"/>
        </w:rPr>
        <w:t>“扬州北辰电气集团有限公司</w:t>
      </w:r>
      <w:r>
        <w:rPr>
          <w:rFonts w:hint="eastAsia"/>
          <w:lang w:val="en-US" w:eastAsia="zh-CN"/>
        </w:rPr>
        <w:t>指定邮箱</w:t>
      </w:r>
      <w:r>
        <w:rPr>
          <w:rFonts w:hint="eastAsia"/>
        </w:rPr>
        <w:t>”上传</w:t>
      </w:r>
      <w:r>
        <w:rPr>
          <w:rFonts w:hint="eastAsia" w:ascii="宋体" w:hAnsi="宋体"/>
          <w:color w:val="000000"/>
          <w:szCs w:val="21"/>
        </w:rPr>
        <w:t>。</w:t>
      </w:r>
    </w:p>
    <w:p w14:paraId="68A7F07F">
      <w:pPr>
        <w:numPr>
          <w:ilvl w:val="0"/>
          <w:numId w:val="15"/>
        </w:numPr>
        <w:tabs>
          <w:tab w:val="left" w:pos="709"/>
          <w:tab w:val="clear" w:pos="0"/>
        </w:tabs>
        <w:adjustRightInd w:val="0"/>
        <w:snapToGrid w:val="0"/>
        <w:spacing w:line="360" w:lineRule="auto"/>
        <w:ind w:left="709" w:hanging="703"/>
        <w:rPr>
          <w:rFonts w:ascii="宋体" w:hAnsi="宋体"/>
          <w:color w:val="000000"/>
          <w:szCs w:val="21"/>
        </w:rPr>
      </w:pPr>
      <w:r>
        <w:rPr>
          <w:rFonts w:hint="eastAsia" w:ascii="宋体" w:hAnsi="宋体"/>
          <w:color w:val="000000"/>
          <w:szCs w:val="21"/>
        </w:rPr>
        <w:t>招标人</w:t>
      </w:r>
      <w:r>
        <w:rPr>
          <w:rFonts w:ascii="宋体" w:hAnsi="宋体"/>
          <w:color w:val="000000"/>
          <w:szCs w:val="21"/>
        </w:rPr>
        <w:t>按应答须知第2.10的规定修改</w:t>
      </w:r>
      <w:r>
        <w:rPr>
          <w:rFonts w:hint="eastAsia" w:ascii="宋体" w:hAnsi="宋体"/>
          <w:color w:val="000000"/>
          <w:szCs w:val="21"/>
        </w:rPr>
        <w:t>招标文件</w:t>
      </w:r>
      <w:r>
        <w:rPr>
          <w:rFonts w:ascii="宋体" w:hAnsi="宋体"/>
          <w:color w:val="000000"/>
          <w:szCs w:val="21"/>
        </w:rPr>
        <w:t>后，可以书面补充通知的方式，酌情推迟提交应答文件的截止时间。在上述情况下，</w:t>
      </w:r>
      <w:r>
        <w:rPr>
          <w:rFonts w:hint="eastAsia" w:ascii="宋体" w:hAnsi="宋体"/>
          <w:color w:val="000000"/>
          <w:szCs w:val="21"/>
        </w:rPr>
        <w:t>招标人</w:t>
      </w:r>
      <w:r>
        <w:rPr>
          <w:rFonts w:ascii="宋体" w:hAnsi="宋体"/>
          <w:color w:val="000000"/>
          <w:szCs w:val="21"/>
        </w:rPr>
        <w:t>与应答人以前在应答截止时间方面的全部权力、责任和义务，将适用于延长后新的应答截止时间。</w:t>
      </w:r>
    </w:p>
    <w:bookmarkEnd w:id="108"/>
    <w:bookmarkEnd w:id="109"/>
    <w:p w14:paraId="49E53481">
      <w:pPr>
        <w:pStyle w:val="7"/>
        <w:adjustRightInd w:val="0"/>
        <w:snapToGrid w:val="0"/>
        <w:spacing w:line="360" w:lineRule="auto"/>
        <w:rPr>
          <w:rFonts w:ascii="宋体" w:hAnsi="宋体" w:eastAsia="宋体"/>
          <w:sz w:val="21"/>
          <w:szCs w:val="21"/>
        </w:rPr>
      </w:pPr>
      <w:bookmarkStart w:id="110" w:name="_Toc105770517"/>
      <w:bookmarkStart w:id="111" w:name="_Toc488655850"/>
      <w:bookmarkStart w:id="112" w:name="_Toc25006"/>
      <w:bookmarkStart w:id="113" w:name="_Toc227057907"/>
      <w:bookmarkStart w:id="114" w:name="_Toc226969301"/>
      <w:bookmarkStart w:id="115" w:name="_Toc107822505"/>
      <w:r>
        <w:rPr>
          <w:rFonts w:ascii="宋体" w:hAnsi="宋体" w:eastAsia="宋体"/>
          <w:sz w:val="21"/>
          <w:szCs w:val="21"/>
        </w:rPr>
        <w:t>应答文件的修改和撤回</w:t>
      </w:r>
      <w:bookmarkEnd w:id="110"/>
      <w:bookmarkEnd w:id="111"/>
      <w:bookmarkEnd w:id="112"/>
      <w:bookmarkEnd w:id="113"/>
      <w:bookmarkEnd w:id="114"/>
      <w:bookmarkEnd w:id="115"/>
    </w:p>
    <w:p w14:paraId="01A37A6B">
      <w:pPr>
        <w:numPr>
          <w:ilvl w:val="0"/>
          <w:numId w:val="16"/>
        </w:numPr>
        <w:tabs>
          <w:tab w:val="left" w:pos="709"/>
          <w:tab w:val="clear" w:pos="0"/>
        </w:tabs>
        <w:adjustRightInd w:val="0"/>
        <w:snapToGrid w:val="0"/>
        <w:spacing w:line="360" w:lineRule="auto"/>
        <w:ind w:left="720" w:hanging="720"/>
        <w:rPr>
          <w:rFonts w:ascii="宋体" w:hAnsi="宋体"/>
          <w:color w:val="000000"/>
          <w:szCs w:val="21"/>
        </w:rPr>
      </w:pPr>
      <w:r>
        <w:rPr>
          <w:rFonts w:ascii="宋体" w:hAnsi="宋体"/>
          <w:color w:val="000000"/>
          <w:szCs w:val="21"/>
        </w:rPr>
        <w:t>应答人递交应答文件以后，在规定的应答截止时间之前，可以向</w:t>
      </w:r>
      <w:r>
        <w:rPr>
          <w:rFonts w:hint="eastAsia" w:ascii="宋体" w:hAnsi="宋体"/>
          <w:color w:val="000000"/>
          <w:szCs w:val="21"/>
        </w:rPr>
        <w:t>招标人</w:t>
      </w:r>
      <w:r>
        <w:rPr>
          <w:rFonts w:ascii="宋体" w:hAnsi="宋体"/>
          <w:color w:val="000000"/>
          <w:szCs w:val="21"/>
        </w:rPr>
        <w:t>递交修改或撤回其应答文件的书面要求并进行修改或撤回。在应答截止日期以后，不能更改和撤回应答文件，否则其应答保证金将不予退还。</w:t>
      </w:r>
    </w:p>
    <w:p w14:paraId="31635A3B">
      <w:pPr>
        <w:numPr>
          <w:ilvl w:val="0"/>
          <w:numId w:val="16"/>
        </w:numPr>
        <w:tabs>
          <w:tab w:val="left" w:pos="709"/>
          <w:tab w:val="clear" w:pos="0"/>
        </w:tabs>
        <w:adjustRightInd w:val="0"/>
        <w:snapToGrid w:val="0"/>
        <w:spacing w:line="360" w:lineRule="auto"/>
        <w:ind w:left="720" w:hanging="720"/>
        <w:rPr>
          <w:rFonts w:ascii="宋体" w:hAnsi="宋体"/>
          <w:color w:val="000000"/>
          <w:szCs w:val="21"/>
        </w:rPr>
      </w:pPr>
      <w:r>
        <w:rPr>
          <w:rFonts w:ascii="宋体" w:hAnsi="宋体"/>
          <w:color w:val="000000" w:themeColor="text1"/>
          <w:szCs w:val="21"/>
          <w14:textFill>
            <w14:solidFill>
              <w14:schemeClr w14:val="tx1"/>
            </w14:solidFill>
          </w14:textFill>
        </w:rPr>
        <w:t>应答人</w:t>
      </w:r>
      <w:r>
        <w:rPr>
          <w:rFonts w:hint="eastAsia" w:ascii="宋体" w:hAnsi="宋体"/>
          <w:color w:val="000000" w:themeColor="text1"/>
          <w:szCs w:val="21"/>
          <w14:textFill>
            <w14:solidFill>
              <w14:schemeClr w14:val="tx1"/>
            </w14:solidFill>
          </w14:textFill>
        </w:rPr>
        <w:t>如需</w:t>
      </w:r>
      <w:r>
        <w:rPr>
          <w:rFonts w:ascii="宋体" w:hAnsi="宋体"/>
          <w:color w:val="000000" w:themeColor="text1"/>
          <w:szCs w:val="21"/>
          <w14:textFill>
            <w14:solidFill>
              <w14:schemeClr w14:val="tx1"/>
            </w14:solidFill>
          </w14:textFill>
        </w:rPr>
        <w:t>修改或撤回应答文件</w:t>
      </w:r>
      <w:r>
        <w:rPr>
          <w:rFonts w:hint="eastAsia" w:ascii="宋体" w:hAnsi="宋体"/>
          <w:color w:val="000000" w:themeColor="text1"/>
          <w:szCs w:val="21"/>
          <w14:textFill>
            <w14:solidFill>
              <w14:schemeClr w14:val="tx1"/>
            </w14:solidFill>
          </w14:textFill>
        </w:rPr>
        <w:t>，应答文件</w:t>
      </w:r>
      <w:r>
        <w:rPr>
          <w:rFonts w:ascii="宋体" w:hAnsi="宋体"/>
          <w:color w:val="000000" w:themeColor="text1"/>
          <w:szCs w:val="21"/>
          <w14:textFill>
            <w14:solidFill>
              <w14:schemeClr w14:val="tx1"/>
            </w14:solidFill>
          </w14:textFill>
        </w:rPr>
        <w:t>应按本须知第2.2</w:t>
      </w: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的规定编制、密封、</w:t>
      </w:r>
      <w:r>
        <w:rPr>
          <w:rFonts w:hint="eastAsia" w:ascii="宋体" w:hAnsi="宋体"/>
          <w:color w:val="000000" w:themeColor="text1"/>
          <w:szCs w:val="21"/>
          <w14:textFill>
            <w14:solidFill>
              <w14:schemeClr w14:val="tx1"/>
            </w14:solidFill>
          </w14:textFill>
        </w:rPr>
        <w:t>标</w:t>
      </w:r>
      <w:r>
        <w:rPr>
          <w:rFonts w:hint="eastAsia" w:ascii="宋体" w:hAnsi="宋体"/>
          <w:szCs w:val="21"/>
        </w:rPr>
        <w:t>志和递交（在文件命名中标明“修改”字样）。</w:t>
      </w:r>
    </w:p>
    <w:p w14:paraId="1CD0A1B4">
      <w:pPr>
        <w:pStyle w:val="7"/>
        <w:adjustRightInd w:val="0"/>
        <w:snapToGrid w:val="0"/>
        <w:spacing w:line="360" w:lineRule="auto"/>
        <w:rPr>
          <w:rFonts w:ascii="宋体" w:hAnsi="宋体" w:eastAsia="宋体"/>
          <w:sz w:val="21"/>
          <w:szCs w:val="21"/>
        </w:rPr>
      </w:pPr>
      <w:bookmarkStart w:id="116" w:name="_Toc29529"/>
      <w:bookmarkStart w:id="117" w:name="_Toc105770518"/>
      <w:r>
        <w:rPr>
          <w:rFonts w:ascii="宋体" w:hAnsi="宋体" w:eastAsia="宋体"/>
          <w:sz w:val="21"/>
          <w:szCs w:val="21"/>
        </w:rPr>
        <w:t>公开唱价</w:t>
      </w:r>
      <w:bookmarkEnd w:id="116"/>
      <w:bookmarkEnd w:id="117"/>
    </w:p>
    <w:p w14:paraId="02F4011A">
      <w:pPr>
        <w:numPr>
          <w:ilvl w:val="0"/>
          <w:numId w:val="17"/>
        </w:numPr>
        <w:tabs>
          <w:tab w:val="left" w:pos="709"/>
          <w:tab w:val="clear" w:pos="0"/>
        </w:tabs>
        <w:adjustRightInd w:val="0"/>
        <w:snapToGrid w:val="0"/>
        <w:spacing w:line="360" w:lineRule="auto"/>
        <w:ind w:left="851" w:hanging="851"/>
        <w:rPr>
          <w:rFonts w:ascii="宋体" w:hAnsi="宋体"/>
          <w:color w:val="000000"/>
          <w:szCs w:val="21"/>
        </w:rPr>
      </w:pPr>
      <w:r>
        <w:rPr>
          <w:rFonts w:hint="eastAsia" w:ascii="宋体" w:hAnsi="宋体"/>
          <w:color w:val="000000"/>
          <w:szCs w:val="21"/>
        </w:rPr>
        <w:t xml:space="preserve"> 招标人</w:t>
      </w:r>
      <w:r>
        <w:rPr>
          <w:rFonts w:ascii="宋体" w:hAnsi="宋体"/>
          <w:color w:val="000000"/>
          <w:szCs w:val="21"/>
        </w:rPr>
        <w:t>将于</w:t>
      </w:r>
      <w:r>
        <w:rPr>
          <w:rFonts w:hint="eastAsia" w:ascii="宋体" w:hAnsi="宋体"/>
          <w:color w:val="000000"/>
          <w:szCs w:val="21"/>
        </w:rPr>
        <w:t>招标</w:t>
      </w:r>
      <w:r>
        <w:rPr>
          <w:rFonts w:ascii="宋体" w:hAnsi="宋体"/>
          <w:color w:val="000000"/>
          <w:szCs w:val="21"/>
        </w:rPr>
        <w:t>公告所列的时间和地点公开唱价。</w:t>
      </w:r>
      <w:r>
        <w:rPr>
          <w:rFonts w:hint="eastAsia" w:ascii="宋体" w:hAnsi="宋体"/>
          <w:color w:val="000000"/>
          <w:szCs w:val="21"/>
        </w:rPr>
        <w:t>应答文件获取时间</w:t>
      </w:r>
      <w:r>
        <w:rPr>
          <w:rFonts w:ascii="宋体" w:hAnsi="宋体"/>
          <w:color w:val="000000"/>
          <w:szCs w:val="21"/>
        </w:rPr>
        <w:t>和唱价时间为同一个时间。</w:t>
      </w:r>
    </w:p>
    <w:p w14:paraId="7391B714">
      <w:pPr>
        <w:numPr>
          <w:ilvl w:val="0"/>
          <w:numId w:val="17"/>
        </w:numPr>
        <w:tabs>
          <w:tab w:val="left" w:pos="709"/>
          <w:tab w:val="clear" w:pos="0"/>
        </w:tabs>
        <w:adjustRightInd w:val="0"/>
        <w:snapToGrid w:val="0"/>
        <w:spacing w:line="360" w:lineRule="auto"/>
        <w:ind w:left="851" w:hanging="851"/>
        <w:rPr>
          <w:rFonts w:ascii="宋体" w:hAnsi="宋体"/>
          <w:color w:val="000000"/>
          <w:szCs w:val="21"/>
        </w:rPr>
      </w:pPr>
      <w:r>
        <w:rPr>
          <w:rFonts w:ascii="宋体" w:hAnsi="宋体"/>
          <w:color w:val="000000"/>
          <w:szCs w:val="21"/>
        </w:rPr>
        <w:t xml:space="preserve"> 唱价由</w:t>
      </w:r>
      <w:r>
        <w:rPr>
          <w:rFonts w:hint="eastAsia" w:ascii="宋体" w:hAnsi="宋体"/>
          <w:color w:val="000000"/>
          <w:szCs w:val="21"/>
        </w:rPr>
        <w:t>招标人</w:t>
      </w:r>
      <w:r>
        <w:rPr>
          <w:rFonts w:ascii="宋体" w:hAnsi="宋体"/>
          <w:color w:val="000000"/>
          <w:szCs w:val="21"/>
        </w:rPr>
        <w:t>或其委托的</w:t>
      </w:r>
      <w:r>
        <w:rPr>
          <w:rFonts w:hint="eastAsia" w:ascii="宋体" w:hAnsi="宋体"/>
          <w:color w:val="000000"/>
          <w:szCs w:val="21"/>
        </w:rPr>
        <w:t>招标</w:t>
      </w:r>
      <w:r>
        <w:rPr>
          <w:rFonts w:ascii="宋体" w:hAnsi="宋体"/>
          <w:color w:val="000000"/>
          <w:szCs w:val="21"/>
        </w:rPr>
        <w:t>机构组织并主持，</w:t>
      </w:r>
      <w:r>
        <w:rPr>
          <w:rFonts w:hint="eastAsia" w:ascii="宋体" w:hAnsi="宋体"/>
          <w:color w:val="000000"/>
          <w:szCs w:val="21"/>
          <w:lang w:val="en-US" w:eastAsia="zh-CN"/>
        </w:rPr>
        <w:t>公开开标</w:t>
      </w:r>
      <w:r>
        <w:rPr>
          <w:rFonts w:ascii="宋体" w:hAnsi="宋体"/>
          <w:color w:val="000000"/>
          <w:szCs w:val="21"/>
        </w:rPr>
        <w:t>唱价。</w:t>
      </w:r>
      <w:r>
        <w:rPr>
          <w:rFonts w:hint="eastAsia" w:ascii="宋体" w:hAnsi="宋体"/>
          <w:color w:val="000000"/>
          <w:szCs w:val="21"/>
        </w:rPr>
        <w:t>应答人或应答人推选的代表对</w:t>
      </w:r>
      <w:r>
        <w:rPr>
          <w:rFonts w:hint="eastAsia" w:ascii="宋体" w:hAnsi="宋体"/>
          <w:szCs w:val="21"/>
        </w:rPr>
        <w:t>电子版应答文件递交情况进行检查，并</w:t>
      </w:r>
      <w:r>
        <w:rPr>
          <w:rFonts w:ascii="宋体" w:hAnsi="宋体"/>
          <w:color w:val="000000"/>
          <w:szCs w:val="21"/>
        </w:rPr>
        <w:t>对应答文件密封性进行检查。但按规定提交合格撤回书面要求的应答文件不予开封</w:t>
      </w:r>
      <w:r>
        <w:rPr>
          <w:rFonts w:hint="eastAsia" w:ascii="宋体" w:hAnsi="宋体"/>
          <w:color w:val="000000"/>
          <w:szCs w:val="21"/>
        </w:rPr>
        <w:t>或开启解密</w:t>
      </w:r>
      <w:r>
        <w:rPr>
          <w:rFonts w:ascii="宋体" w:hAnsi="宋体"/>
          <w:color w:val="000000"/>
          <w:szCs w:val="21"/>
        </w:rPr>
        <w:t>。</w:t>
      </w:r>
    </w:p>
    <w:p w14:paraId="3DCBBEA9">
      <w:pPr>
        <w:numPr>
          <w:ilvl w:val="0"/>
          <w:numId w:val="17"/>
        </w:numPr>
        <w:tabs>
          <w:tab w:val="left" w:pos="709"/>
          <w:tab w:val="clear" w:pos="0"/>
        </w:tabs>
        <w:adjustRightInd w:val="0"/>
        <w:snapToGrid w:val="0"/>
        <w:spacing w:line="360" w:lineRule="auto"/>
        <w:ind w:left="851" w:hanging="851"/>
        <w:rPr>
          <w:rFonts w:ascii="宋体" w:hAnsi="宋体"/>
          <w:color w:val="000000"/>
          <w:szCs w:val="21"/>
        </w:rPr>
      </w:pPr>
      <w:r>
        <w:rPr>
          <w:rFonts w:ascii="宋体" w:hAnsi="宋体"/>
          <w:color w:val="000000"/>
          <w:szCs w:val="21"/>
        </w:rPr>
        <w:t>应答文</w:t>
      </w:r>
      <w:r>
        <w:rPr>
          <w:rFonts w:hint="eastAsia" w:ascii="宋体" w:hAnsi="宋体"/>
          <w:color w:val="000000"/>
          <w:szCs w:val="21"/>
        </w:rPr>
        <w:t>件有下列情况之一的将视为无效，无效的情况将不予开封：</w:t>
      </w:r>
    </w:p>
    <w:p w14:paraId="4D9A0C10">
      <w:pPr>
        <w:numPr>
          <w:ilvl w:val="0"/>
          <w:numId w:val="18"/>
        </w:numPr>
        <w:adjustRightInd w:val="0"/>
        <w:snapToGrid w:val="0"/>
        <w:spacing w:line="360" w:lineRule="auto"/>
        <w:rPr>
          <w:rFonts w:ascii="宋体" w:hAnsi="宋体"/>
          <w:color w:val="000000"/>
          <w:szCs w:val="21"/>
        </w:rPr>
      </w:pPr>
      <w:r>
        <w:rPr>
          <w:rFonts w:hint="eastAsia" w:ascii="宋体" w:hAnsi="宋体"/>
          <w:color w:val="000000"/>
          <w:szCs w:val="21"/>
        </w:rPr>
        <w:t>应答文件未按规定格式标志、制作应答</w:t>
      </w:r>
      <w:r>
        <w:rPr>
          <w:rFonts w:ascii="宋体" w:hAnsi="宋体"/>
          <w:color w:val="000000"/>
          <w:szCs w:val="21"/>
        </w:rPr>
        <w:t>文件</w:t>
      </w:r>
      <w:r>
        <w:rPr>
          <w:rFonts w:hint="eastAsia" w:ascii="宋体" w:hAnsi="宋体"/>
          <w:color w:val="000000"/>
          <w:szCs w:val="21"/>
        </w:rPr>
        <w:t>；</w:t>
      </w:r>
    </w:p>
    <w:p w14:paraId="512F52B5">
      <w:pPr>
        <w:numPr>
          <w:ilvl w:val="0"/>
          <w:numId w:val="18"/>
        </w:numPr>
        <w:adjustRightInd w:val="0"/>
        <w:snapToGrid w:val="0"/>
        <w:spacing w:line="360" w:lineRule="auto"/>
        <w:rPr>
          <w:rFonts w:ascii="宋体" w:hAnsi="宋体"/>
          <w:color w:val="000000"/>
          <w:szCs w:val="21"/>
        </w:rPr>
      </w:pPr>
      <w:r>
        <w:rPr>
          <w:rFonts w:hint="eastAsia" w:ascii="宋体" w:hAnsi="宋体"/>
          <w:color w:val="000000"/>
          <w:szCs w:val="21"/>
        </w:rPr>
        <w:t>应答截止时间以后送达的应答文件；</w:t>
      </w:r>
    </w:p>
    <w:p w14:paraId="7AE6ED5F">
      <w:pPr>
        <w:numPr>
          <w:ilvl w:val="0"/>
          <w:numId w:val="18"/>
        </w:numPr>
        <w:adjustRightInd w:val="0"/>
        <w:snapToGrid w:val="0"/>
        <w:spacing w:after="120" w:line="360" w:lineRule="auto"/>
        <w:rPr>
          <w:rFonts w:ascii="宋体" w:hAnsi="宋体"/>
          <w:color w:val="000000"/>
          <w:szCs w:val="21"/>
        </w:rPr>
      </w:pPr>
      <w:r>
        <w:rPr>
          <w:rFonts w:hint="eastAsia" w:ascii="宋体" w:hAnsi="宋体"/>
          <w:color w:val="000000"/>
          <w:szCs w:val="21"/>
        </w:rPr>
        <w:t>国家及部委法律法规中有关无效应答的其他情况。</w:t>
      </w:r>
    </w:p>
    <w:p w14:paraId="229976E3">
      <w:pPr>
        <w:numPr>
          <w:ilvl w:val="0"/>
          <w:numId w:val="17"/>
        </w:numPr>
        <w:tabs>
          <w:tab w:val="left" w:pos="709"/>
          <w:tab w:val="clear" w:pos="0"/>
        </w:tabs>
        <w:adjustRightInd w:val="0"/>
        <w:snapToGrid w:val="0"/>
        <w:spacing w:line="360" w:lineRule="auto"/>
        <w:ind w:left="851" w:hanging="851"/>
        <w:rPr>
          <w:rFonts w:ascii="宋体" w:hAnsi="宋体"/>
          <w:color w:val="000000"/>
          <w:szCs w:val="21"/>
        </w:rPr>
      </w:pPr>
      <w:r>
        <w:rPr>
          <w:rFonts w:hint="eastAsia" w:ascii="宋体" w:hAnsi="宋体"/>
          <w:color w:val="000000"/>
          <w:szCs w:val="21"/>
        </w:rPr>
        <w:t>唱价时，招标人当众宣布参加本次招标的应答人个数、应答文件递交情况、应答文件的密封、应答保证金递交等情况。招标人以该应答人应答文件“应答一览表”的报价信息进行唱价补录并当众呈现和宣读，一般包括</w:t>
      </w:r>
      <w:r>
        <w:rPr>
          <w:rFonts w:ascii="宋体" w:hAnsi="宋体"/>
          <w:color w:val="000000"/>
          <w:szCs w:val="21"/>
        </w:rPr>
        <w:t>应答人名称、应答报价</w:t>
      </w:r>
      <w:r>
        <w:rPr>
          <w:rFonts w:hint="eastAsia" w:ascii="宋体" w:hAnsi="宋体"/>
          <w:color w:val="000000"/>
          <w:szCs w:val="21"/>
        </w:rPr>
        <w:t>、</w:t>
      </w:r>
      <w:r>
        <w:rPr>
          <w:rFonts w:ascii="宋体" w:hAnsi="宋体"/>
          <w:color w:val="000000"/>
          <w:szCs w:val="21"/>
        </w:rPr>
        <w:t>应答</w:t>
      </w:r>
      <w:r>
        <w:rPr>
          <w:rFonts w:hint="eastAsia" w:ascii="宋体" w:hAnsi="宋体"/>
          <w:color w:val="000000"/>
          <w:szCs w:val="21"/>
        </w:rPr>
        <w:t>报价</w:t>
      </w:r>
      <w:r>
        <w:rPr>
          <w:rFonts w:ascii="宋体" w:hAnsi="宋体"/>
          <w:color w:val="000000"/>
          <w:szCs w:val="21"/>
        </w:rPr>
        <w:t>中规定的其他内容</w:t>
      </w:r>
      <w:r>
        <w:rPr>
          <w:rFonts w:hint="eastAsia" w:ascii="宋体" w:hAnsi="宋体"/>
          <w:color w:val="000000"/>
          <w:szCs w:val="21"/>
        </w:rPr>
        <w:t>。</w:t>
      </w:r>
    </w:p>
    <w:p w14:paraId="44C64A1E">
      <w:pPr>
        <w:numPr>
          <w:ilvl w:val="0"/>
          <w:numId w:val="17"/>
        </w:numPr>
        <w:tabs>
          <w:tab w:val="left" w:pos="709"/>
          <w:tab w:val="clear" w:pos="0"/>
        </w:tabs>
        <w:adjustRightInd w:val="0"/>
        <w:snapToGrid w:val="0"/>
        <w:spacing w:line="360" w:lineRule="auto"/>
        <w:ind w:left="851" w:hanging="851"/>
        <w:rPr>
          <w:rFonts w:ascii="宋体" w:hAnsi="宋体"/>
          <w:color w:val="000000"/>
          <w:szCs w:val="21"/>
        </w:rPr>
      </w:pPr>
      <w:r>
        <w:rPr>
          <w:rFonts w:ascii="宋体" w:hAnsi="宋体"/>
          <w:bCs/>
          <w:color w:val="000000"/>
          <w:szCs w:val="21"/>
        </w:rPr>
        <w:t>唱价内容填写在“唱价记录表”中，由主持人、唱</w:t>
      </w:r>
      <w:r>
        <w:rPr>
          <w:rFonts w:hint="eastAsia" w:ascii="宋体" w:hAnsi="宋体"/>
          <w:bCs/>
          <w:color w:val="000000"/>
          <w:szCs w:val="21"/>
        </w:rPr>
        <w:t>价</w:t>
      </w:r>
      <w:r>
        <w:rPr>
          <w:rFonts w:ascii="宋体" w:hAnsi="宋体"/>
          <w:bCs/>
          <w:color w:val="000000"/>
          <w:szCs w:val="21"/>
        </w:rPr>
        <w:t>人、记录人、应答人以及其他在场相关人</w:t>
      </w:r>
      <w:r>
        <w:rPr>
          <w:rFonts w:hint="eastAsia" w:ascii="宋体" w:hAnsi="宋体"/>
          <w:bCs/>
          <w:color w:val="000000"/>
          <w:szCs w:val="21"/>
        </w:rPr>
        <w:t>员签字确认，存档备查，并分发扫描件给各应答人。</w:t>
      </w:r>
    </w:p>
    <w:p w14:paraId="32905FB0">
      <w:pPr>
        <w:pStyle w:val="7"/>
        <w:adjustRightInd w:val="0"/>
        <w:snapToGrid w:val="0"/>
        <w:spacing w:line="360" w:lineRule="auto"/>
        <w:rPr>
          <w:rFonts w:ascii="宋体" w:hAnsi="宋体" w:eastAsia="宋体"/>
          <w:sz w:val="21"/>
          <w:szCs w:val="21"/>
        </w:rPr>
      </w:pPr>
      <w:bookmarkStart w:id="118" w:name="_Toc105770519"/>
      <w:bookmarkStart w:id="119" w:name="_Toc29678"/>
      <w:r>
        <w:rPr>
          <w:rFonts w:ascii="宋体" w:hAnsi="宋体" w:eastAsia="宋体"/>
          <w:sz w:val="21"/>
          <w:szCs w:val="21"/>
        </w:rPr>
        <w:t>评审</w:t>
      </w:r>
      <w:r>
        <w:rPr>
          <w:rFonts w:hint="eastAsia" w:ascii="宋体" w:hAnsi="宋体" w:eastAsia="宋体"/>
          <w:sz w:val="21"/>
          <w:szCs w:val="21"/>
        </w:rPr>
        <w:t>委员会</w:t>
      </w:r>
      <w:bookmarkEnd w:id="118"/>
      <w:bookmarkEnd w:id="119"/>
    </w:p>
    <w:p w14:paraId="641B8AEB">
      <w:pPr>
        <w:numPr>
          <w:ilvl w:val="0"/>
          <w:numId w:val="19"/>
        </w:numPr>
        <w:tabs>
          <w:tab w:val="left" w:pos="709"/>
          <w:tab w:val="clear" w:pos="0"/>
        </w:tabs>
        <w:adjustRightInd w:val="0"/>
        <w:snapToGrid w:val="0"/>
        <w:spacing w:line="360" w:lineRule="auto"/>
        <w:ind w:left="709" w:hanging="709"/>
        <w:rPr>
          <w:rFonts w:ascii="宋体" w:hAnsi="宋体"/>
          <w:bCs/>
          <w:color w:val="000000"/>
          <w:szCs w:val="21"/>
        </w:rPr>
      </w:pPr>
      <w:r>
        <w:rPr>
          <w:rFonts w:hint="eastAsia" w:ascii="宋体" w:hAnsi="宋体"/>
          <w:bCs/>
          <w:color w:val="000000"/>
          <w:szCs w:val="21"/>
        </w:rPr>
        <w:t xml:space="preserve"> 评审由依法组建的评审委员会进行。</w:t>
      </w:r>
    </w:p>
    <w:p w14:paraId="313DCFCD">
      <w:pPr>
        <w:numPr>
          <w:ilvl w:val="0"/>
          <w:numId w:val="19"/>
        </w:numPr>
        <w:tabs>
          <w:tab w:val="left" w:pos="709"/>
          <w:tab w:val="clear" w:pos="0"/>
        </w:tabs>
        <w:adjustRightInd w:val="0"/>
        <w:snapToGrid w:val="0"/>
        <w:spacing w:line="360" w:lineRule="auto"/>
        <w:ind w:left="709" w:hanging="709"/>
        <w:rPr>
          <w:rFonts w:ascii="宋体" w:hAnsi="宋体"/>
          <w:bCs/>
          <w:color w:val="000000"/>
          <w:szCs w:val="21"/>
        </w:rPr>
      </w:pPr>
      <w:r>
        <w:rPr>
          <w:rFonts w:hint="eastAsia" w:ascii="宋体" w:hAnsi="宋体"/>
          <w:bCs/>
          <w:color w:val="000000"/>
          <w:szCs w:val="21"/>
        </w:rPr>
        <w:t>评审</w:t>
      </w:r>
      <w:r>
        <w:rPr>
          <w:rFonts w:ascii="宋体" w:hAnsi="宋体"/>
          <w:bCs/>
          <w:color w:val="000000"/>
          <w:szCs w:val="21"/>
        </w:rPr>
        <w:t>期间，任何单位和个人不得非法干预或影响评审的过程和结果。</w:t>
      </w:r>
    </w:p>
    <w:p w14:paraId="5BF1B5F0">
      <w:pPr>
        <w:numPr>
          <w:ilvl w:val="0"/>
          <w:numId w:val="19"/>
        </w:numPr>
        <w:tabs>
          <w:tab w:val="left" w:pos="709"/>
          <w:tab w:val="clear" w:pos="0"/>
        </w:tabs>
        <w:adjustRightInd w:val="0"/>
        <w:snapToGrid w:val="0"/>
        <w:spacing w:line="360" w:lineRule="auto"/>
        <w:ind w:left="709" w:hanging="709"/>
        <w:rPr>
          <w:rFonts w:ascii="宋体" w:hAnsi="宋体"/>
          <w:bCs/>
          <w:color w:val="000000"/>
          <w:szCs w:val="21"/>
        </w:rPr>
      </w:pPr>
      <w:r>
        <w:rPr>
          <w:rFonts w:ascii="宋体" w:hAnsi="宋体"/>
          <w:color w:val="000000"/>
          <w:szCs w:val="21"/>
        </w:rPr>
        <w:t>评审委员会成员名单在中选结果确定前保密。</w:t>
      </w:r>
    </w:p>
    <w:p w14:paraId="296F5BFA">
      <w:pPr>
        <w:pStyle w:val="7"/>
        <w:adjustRightInd w:val="0"/>
        <w:snapToGrid w:val="0"/>
        <w:spacing w:line="360" w:lineRule="auto"/>
        <w:rPr>
          <w:rFonts w:ascii="宋体" w:hAnsi="宋体" w:eastAsia="宋体"/>
          <w:sz w:val="21"/>
          <w:szCs w:val="21"/>
        </w:rPr>
      </w:pPr>
      <w:bookmarkStart w:id="120" w:name="_Toc107822508"/>
      <w:bookmarkStart w:id="121" w:name="_Toc105770520"/>
      <w:bookmarkStart w:id="122" w:name="_Toc23324"/>
      <w:bookmarkStart w:id="123" w:name="_Toc227057910"/>
      <w:bookmarkStart w:id="124" w:name="_Toc226969304"/>
      <w:r>
        <w:rPr>
          <w:rFonts w:ascii="宋体" w:hAnsi="宋体" w:eastAsia="宋体"/>
          <w:sz w:val="21"/>
          <w:szCs w:val="21"/>
        </w:rPr>
        <w:t>应答文件的澄清</w:t>
      </w:r>
      <w:bookmarkEnd w:id="120"/>
      <w:r>
        <w:rPr>
          <w:rFonts w:hint="eastAsia" w:ascii="宋体" w:hAnsi="宋体" w:eastAsia="宋体"/>
          <w:sz w:val="21"/>
          <w:szCs w:val="21"/>
        </w:rPr>
        <w:t>和说明</w:t>
      </w:r>
      <w:bookmarkEnd w:id="121"/>
      <w:bookmarkEnd w:id="122"/>
      <w:bookmarkEnd w:id="123"/>
      <w:bookmarkEnd w:id="124"/>
    </w:p>
    <w:p w14:paraId="0220D92D">
      <w:pPr>
        <w:numPr>
          <w:ilvl w:val="0"/>
          <w:numId w:val="20"/>
        </w:numPr>
        <w:tabs>
          <w:tab w:val="left" w:pos="709"/>
        </w:tabs>
        <w:adjustRightInd w:val="0"/>
        <w:snapToGrid w:val="0"/>
        <w:spacing w:line="360" w:lineRule="auto"/>
        <w:rPr>
          <w:rFonts w:ascii="宋体" w:hAnsi="宋体"/>
          <w:color w:val="000000"/>
          <w:szCs w:val="21"/>
        </w:rPr>
      </w:pPr>
      <w:r>
        <w:rPr>
          <w:rFonts w:hint="eastAsia" w:ascii="宋体" w:hAnsi="宋体"/>
          <w:color w:val="000000"/>
          <w:szCs w:val="21"/>
        </w:rPr>
        <w:t>在评审</w:t>
      </w:r>
      <w:r>
        <w:rPr>
          <w:rFonts w:ascii="宋体" w:hAnsi="宋体"/>
          <w:color w:val="000000"/>
          <w:szCs w:val="21"/>
        </w:rPr>
        <w:t>过程中，评审委员会可以书面形式要求应答人对所提交的应答文件中不明确的内容进行书面澄清或说明，或者对细微偏差进行补正。有关澄清的要求与答复，应以书面形式进行，并作为评审报告的一部分。评审委员会不接受应答人主动提出的澄清、说明或补正。</w:t>
      </w:r>
    </w:p>
    <w:p w14:paraId="54499AF9">
      <w:pPr>
        <w:numPr>
          <w:ilvl w:val="0"/>
          <w:numId w:val="20"/>
        </w:numPr>
        <w:tabs>
          <w:tab w:val="left" w:pos="709"/>
        </w:tabs>
        <w:adjustRightInd w:val="0"/>
        <w:snapToGrid w:val="0"/>
        <w:spacing w:line="360" w:lineRule="auto"/>
        <w:rPr>
          <w:rFonts w:ascii="宋体" w:hAnsi="宋体"/>
          <w:color w:val="000000"/>
          <w:szCs w:val="21"/>
        </w:rPr>
      </w:pPr>
      <w:r>
        <w:rPr>
          <w:rFonts w:ascii="宋体" w:hAnsi="宋体"/>
          <w:color w:val="000000"/>
          <w:szCs w:val="21"/>
        </w:rPr>
        <w:t>澄清、说明和补正不得改变应答文件的实质性内容（算术性错误修正的除外）。应答人的书面澄清、说明和补正属于应答文件的组成部分。</w:t>
      </w:r>
    </w:p>
    <w:p w14:paraId="5ACE158B">
      <w:pPr>
        <w:numPr>
          <w:ilvl w:val="0"/>
          <w:numId w:val="20"/>
        </w:numPr>
        <w:tabs>
          <w:tab w:val="left" w:pos="709"/>
        </w:tabs>
        <w:adjustRightInd w:val="0"/>
        <w:snapToGrid w:val="0"/>
        <w:spacing w:line="360" w:lineRule="auto"/>
        <w:rPr>
          <w:rFonts w:ascii="宋体" w:hAnsi="宋体"/>
          <w:color w:val="000000"/>
          <w:szCs w:val="21"/>
        </w:rPr>
      </w:pPr>
      <w:r>
        <w:rPr>
          <w:rFonts w:ascii="宋体" w:hAnsi="宋体"/>
          <w:color w:val="000000"/>
          <w:szCs w:val="21"/>
        </w:rPr>
        <w:t>评审委员会对应答人提交的澄清、说明或补正有疑问的，可以要求应答人进一步澄清、说明或补正，</w:t>
      </w:r>
      <w:r>
        <w:rPr>
          <w:rFonts w:hint="eastAsia" w:ascii="宋体" w:hAnsi="宋体"/>
          <w:color w:val="000000"/>
          <w:szCs w:val="21"/>
        </w:rPr>
        <w:t>直至满足评审委员会的要求。</w:t>
      </w:r>
      <w:bookmarkStart w:id="125" w:name="_Toc488655854"/>
    </w:p>
    <w:p w14:paraId="0943DEFB">
      <w:pPr>
        <w:pStyle w:val="7"/>
        <w:adjustRightInd w:val="0"/>
        <w:snapToGrid w:val="0"/>
        <w:spacing w:line="360" w:lineRule="auto"/>
        <w:rPr>
          <w:rFonts w:ascii="宋体" w:hAnsi="宋体" w:eastAsia="宋体"/>
          <w:sz w:val="21"/>
          <w:szCs w:val="21"/>
        </w:rPr>
      </w:pPr>
      <w:bookmarkStart w:id="126" w:name="_Toc3520"/>
      <w:bookmarkStart w:id="127" w:name="_Toc227057911"/>
      <w:bookmarkStart w:id="128" w:name="_Toc226969305"/>
      <w:bookmarkStart w:id="129" w:name="_Toc105770521"/>
      <w:bookmarkStart w:id="130" w:name="_Toc107822509"/>
      <w:r>
        <w:rPr>
          <w:rFonts w:ascii="宋体" w:hAnsi="宋体" w:eastAsia="宋体"/>
          <w:sz w:val="21"/>
          <w:szCs w:val="21"/>
        </w:rPr>
        <w:t>应答文件的</w:t>
      </w:r>
      <w:bookmarkEnd w:id="125"/>
      <w:r>
        <w:rPr>
          <w:rFonts w:hint="eastAsia" w:ascii="宋体" w:hAnsi="宋体" w:eastAsia="宋体"/>
          <w:sz w:val="21"/>
          <w:szCs w:val="21"/>
        </w:rPr>
        <w:t>评审</w:t>
      </w:r>
      <w:bookmarkEnd w:id="126"/>
      <w:bookmarkEnd w:id="127"/>
      <w:bookmarkEnd w:id="128"/>
      <w:bookmarkEnd w:id="129"/>
      <w:bookmarkEnd w:id="130"/>
    </w:p>
    <w:p w14:paraId="5166F003">
      <w:pPr>
        <w:numPr>
          <w:ilvl w:val="0"/>
          <w:numId w:val="21"/>
        </w:numPr>
        <w:tabs>
          <w:tab w:val="left" w:pos="709"/>
        </w:tabs>
        <w:adjustRightInd w:val="0"/>
        <w:snapToGrid w:val="0"/>
        <w:spacing w:line="360" w:lineRule="auto"/>
        <w:rPr>
          <w:rFonts w:ascii="宋体" w:hAnsi="宋体"/>
          <w:bCs/>
          <w:color w:val="000000"/>
          <w:szCs w:val="21"/>
        </w:rPr>
      </w:pPr>
      <w:r>
        <w:rPr>
          <w:rFonts w:hint="eastAsia" w:ascii="宋体" w:hAnsi="宋体"/>
          <w:bCs/>
          <w:color w:val="000000"/>
          <w:szCs w:val="21"/>
        </w:rPr>
        <w:t>评审活动遵循公平、公正、科学和择优的原则。</w:t>
      </w:r>
    </w:p>
    <w:p w14:paraId="4FBE5848">
      <w:pPr>
        <w:numPr>
          <w:ilvl w:val="0"/>
          <w:numId w:val="21"/>
        </w:numPr>
        <w:tabs>
          <w:tab w:val="left" w:pos="709"/>
          <w:tab w:val="clear" w:pos="0"/>
        </w:tabs>
        <w:adjustRightInd w:val="0"/>
        <w:snapToGrid w:val="0"/>
        <w:spacing w:line="360" w:lineRule="auto"/>
        <w:ind w:left="720" w:hanging="720"/>
        <w:rPr>
          <w:rFonts w:ascii="宋体" w:hAnsi="宋体"/>
          <w:bCs/>
          <w:color w:val="000000"/>
          <w:szCs w:val="21"/>
        </w:rPr>
      </w:pPr>
      <w:r>
        <w:rPr>
          <w:rFonts w:ascii="宋体" w:hAnsi="宋体"/>
          <w:bCs/>
          <w:szCs w:val="21"/>
        </w:rPr>
        <w:t>唱价之后，应答人不得要求</w:t>
      </w:r>
      <w:r>
        <w:rPr>
          <w:rFonts w:ascii="宋体" w:hAnsi="宋体"/>
          <w:szCs w:val="21"/>
        </w:rPr>
        <w:t>通过修正或撤消不合要求的偏离从而使其应答成为实质上响应的应答。</w:t>
      </w:r>
    </w:p>
    <w:p w14:paraId="5DFC4D77">
      <w:pPr>
        <w:numPr>
          <w:ilvl w:val="0"/>
          <w:numId w:val="21"/>
        </w:numPr>
        <w:tabs>
          <w:tab w:val="left" w:pos="709"/>
        </w:tabs>
        <w:adjustRightInd w:val="0"/>
        <w:snapToGrid w:val="0"/>
        <w:spacing w:line="360" w:lineRule="auto"/>
        <w:ind w:left="709" w:hanging="709"/>
        <w:rPr>
          <w:rFonts w:ascii="宋体" w:hAnsi="宋体"/>
          <w:bCs/>
          <w:color w:val="000000"/>
          <w:szCs w:val="21"/>
        </w:rPr>
      </w:pPr>
      <w:r>
        <w:rPr>
          <w:rFonts w:hint="eastAsia" w:ascii="宋体" w:hAnsi="宋体"/>
          <w:bCs/>
          <w:color w:val="000000"/>
          <w:szCs w:val="21"/>
        </w:rPr>
        <w:t>评审委员会按照第五章“评审办法”规定的方法、评审因素、标准和程序对应答文件进行评审。第五章“评审办法”没有规定的方法、评审因素和标准，不作为评审依据。</w:t>
      </w:r>
    </w:p>
    <w:p w14:paraId="7F238E3A">
      <w:pPr>
        <w:pStyle w:val="7"/>
        <w:adjustRightInd w:val="0"/>
        <w:snapToGrid w:val="0"/>
        <w:spacing w:line="360" w:lineRule="auto"/>
        <w:rPr>
          <w:rFonts w:ascii="宋体" w:hAnsi="宋体" w:eastAsia="宋体"/>
          <w:sz w:val="21"/>
          <w:szCs w:val="21"/>
        </w:rPr>
      </w:pPr>
      <w:bookmarkStart w:id="131" w:name="_Toc105770522"/>
      <w:bookmarkStart w:id="132" w:name="_Toc227057912"/>
      <w:bookmarkStart w:id="133" w:name="_Toc107822511"/>
      <w:bookmarkStart w:id="134" w:name="_Toc5246"/>
      <w:bookmarkStart w:id="135" w:name="_Toc226969306"/>
      <w:r>
        <w:rPr>
          <w:rFonts w:ascii="宋体" w:hAnsi="宋体" w:eastAsia="宋体"/>
          <w:sz w:val="21"/>
          <w:szCs w:val="21"/>
        </w:rPr>
        <w:t>评审方法</w:t>
      </w:r>
      <w:bookmarkEnd w:id="131"/>
      <w:bookmarkEnd w:id="132"/>
      <w:bookmarkEnd w:id="133"/>
      <w:bookmarkEnd w:id="134"/>
      <w:bookmarkEnd w:id="135"/>
    </w:p>
    <w:p w14:paraId="047566FE">
      <w:pPr>
        <w:pStyle w:val="51"/>
        <w:numPr>
          <w:ilvl w:val="0"/>
          <w:numId w:val="22"/>
        </w:numPr>
        <w:adjustRightInd w:val="0"/>
        <w:snapToGrid w:val="0"/>
        <w:spacing w:line="360" w:lineRule="auto"/>
        <w:ind w:left="567" w:hanging="567" w:hangingChars="270"/>
        <w:rPr>
          <w:rFonts w:ascii="宋体" w:hAnsi="宋体"/>
          <w:color w:val="000000"/>
          <w:szCs w:val="21"/>
        </w:rPr>
      </w:pPr>
      <w:r>
        <w:rPr>
          <w:rFonts w:hint="eastAsia" w:ascii="宋体" w:hAnsi="宋体"/>
          <w:color w:val="000000"/>
          <w:szCs w:val="21"/>
        </w:rPr>
        <w:t>招标文件中详细载明下述评审方法之一作为本次评审所采用的评审方法。评审方法见应答人须知前附表。</w:t>
      </w:r>
    </w:p>
    <w:p w14:paraId="21ECDFDA">
      <w:pPr>
        <w:numPr>
          <w:ilvl w:val="0"/>
          <w:numId w:val="22"/>
        </w:numPr>
        <w:tabs>
          <w:tab w:val="left" w:pos="709"/>
          <w:tab w:val="clear" w:pos="420"/>
        </w:tabs>
        <w:adjustRightInd w:val="0"/>
        <w:snapToGrid w:val="0"/>
        <w:spacing w:line="360" w:lineRule="auto"/>
        <w:ind w:left="567" w:hanging="567" w:hangingChars="270"/>
        <w:rPr>
          <w:rFonts w:ascii="宋体" w:hAnsi="宋体"/>
          <w:color w:val="000000"/>
          <w:szCs w:val="21"/>
        </w:rPr>
      </w:pPr>
      <w:r>
        <w:rPr>
          <w:rFonts w:ascii="宋体" w:hAnsi="宋体"/>
          <w:color w:val="000000"/>
          <w:szCs w:val="21"/>
        </w:rPr>
        <w:t>经评审的最低价法：在满足</w:t>
      </w:r>
      <w:r>
        <w:rPr>
          <w:rFonts w:hint="eastAsia" w:ascii="宋体" w:hAnsi="宋体"/>
          <w:color w:val="000000"/>
          <w:szCs w:val="21"/>
        </w:rPr>
        <w:t>招标文件</w:t>
      </w:r>
      <w:r>
        <w:rPr>
          <w:rFonts w:ascii="宋体" w:hAnsi="宋体"/>
          <w:color w:val="000000"/>
          <w:szCs w:val="21"/>
        </w:rPr>
        <w:t>所列商务条件及技术条件下，经评审的价格最低的中选，但是价格低于成本的除外。</w:t>
      </w:r>
    </w:p>
    <w:p w14:paraId="3AF0D9EC">
      <w:pPr>
        <w:numPr>
          <w:ilvl w:val="0"/>
          <w:numId w:val="22"/>
        </w:numPr>
        <w:tabs>
          <w:tab w:val="left" w:pos="709"/>
          <w:tab w:val="clear" w:pos="420"/>
        </w:tabs>
        <w:adjustRightInd w:val="0"/>
        <w:snapToGrid w:val="0"/>
        <w:spacing w:line="360" w:lineRule="auto"/>
        <w:ind w:left="567" w:hanging="567" w:hangingChars="270"/>
        <w:rPr>
          <w:rFonts w:ascii="宋体" w:hAnsi="宋体"/>
          <w:color w:val="000000"/>
          <w:szCs w:val="21"/>
        </w:rPr>
      </w:pPr>
      <w:r>
        <w:rPr>
          <w:rFonts w:ascii="宋体" w:hAnsi="宋体"/>
          <w:color w:val="000000"/>
          <w:szCs w:val="21"/>
        </w:rPr>
        <w:t>综合评估法：在</w:t>
      </w:r>
      <w:r>
        <w:rPr>
          <w:rFonts w:hint="eastAsia" w:ascii="宋体" w:hAnsi="宋体"/>
          <w:color w:val="000000"/>
          <w:szCs w:val="21"/>
        </w:rPr>
        <w:t>招标文件</w:t>
      </w:r>
      <w:r>
        <w:rPr>
          <w:rFonts w:ascii="宋体" w:hAnsi="宋体"/>
          <w:color w:val="000000"/>
          <w:szCs w:val="21"/>
        </w:rPr>
        <w:t>中载明所有详细的量化因素和权重比值。</w:t>
      </w:r>
    </w:p>
    <w:p w14:paraId="60AA8054">
      <w:pPr>
        <w:pStyle w:val="7"/>
        <w:adjustRightInd w:val="0"/>
        <w:snapToGrid w:val="0"/>
        <w:spacing w:line="360" w:lineRule="auto"/>
        <w:rPr>
          <w:rFonts w:ascii="宋体" w:hAnsi="宋体" w:eastAsia="宋体"/>
          <w:sz w:val="21"/>
          <w:szCs w:val="21"/>
        </w:rPr>
      </w:pPr>
      <w:bookmarkStart w:id="136" w:name="_Toc24241"/>
      <w:bookmarkStart w:id="137" w:name="_Toc105770523"/>
      <w:bookmarkStart w:id="138" w:name="_Toc488655857"/>
      <w:bookmarkStart w:id="139" w:name="_Toc227057914"/>
      <w:bookmarkStart w:id="140" w:name="_Toc107822513"/>
      <w:bookmarkStart w:id="141" w:name="_Toc226969308"/>
      <w:r>
        <w:rPr>
          <w:rFonts w:hint="eastAsia" w:ascii="宋体" w:hAnsi="宋体" w:eastAsia="宋体"/>
          <w:sz w:val="21"/>
          <w:szCs w:val="21"/>
        </w:rPr>
        <w:t>关于划分招标包</w:t>
      </w:r>
      <w:bookmarkEnd w:id="136"/>
      <w:bookmarkEnd w:id="137"/>
    </w:p>
    <w:p w14:paraId="66DF64AD">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见应答人须知前附表。</w:t>
      </w:r>
    </w:p>
    <w:p w14:paraId="6A0F7EBF">
      <w:pPr>
        <w:pStyle w:val="7"/>
        <w:adjustRightInd w:val="0"/>
        <w:snapToGrid w:val="0"/>
        <w:spacing w:line="360" w:lineRule="auto"/>
        <w:rPr>
          <w:rFonts w:ascii="宋体" w:hAnsi="宋体" w:eastAsia="宋体"/>
          <w:sz w:val="21"/>
          <w:szCs w:val="21"/>
        </w:rPr>
      </w:pPr>
      <w:bookmarkStart w:id="142" w:name="_Toc30084"/>
      <w:bookmarkStart w:id="143" w:name="_Toc105770524"/>
      <w:r>
        <w:rPr>
          <w:rFonts w:hint="eastAsia" w:ascii="宋体" w:hAnsi="宋体" w:eastAsia="宋体"/>
          <w:sz w:val="21"/>
          <w:szCs w:val="21"/>
        </w:rPr>
        <w:t>相关人员的接触</w:t>
      </w:r>
      <w:bookmarkEnd w:id="138"/>
      <w:bookmarkEnd w:id="139"/>
      <w:bookmarkEnd w:id="140"/>
      <w:bookmarkEnd w:id="141"/>
      <w:bookmarkEnd w:id="142"/>
      <w:bookmarkEnd w:id="143"/>
    </w:p>
    <w:p w14:paraId="7E522607">
      <w:pPr>
        <w:numPr>
          <w:ilvl w:val="0"/>
          <w:numId w:val="23"/>
        </w:numPr>
        <w:tabs>
          <w:tab w:val="left" w:pos="720"/>
        </w:tabs>
        <w:adjustRightInd w:val="0"/>
        <w:snapToGrid w:val="0"/>
        <w:spacing w:after="120" w:line="360" w:lineRule="auto"/>
        <w:ind w:left="720" w:hanging="720"/>
        <w:rPr>
          <w:rFonts w:ascii="宋体" w:hAnsi="宋体"/>
          <w:color w:val="000000"/>
          <w:szCs w:val="21"/>
        </w:rPr>
      </w:pPr>
      <w:r>
        <w:rPr>
          <w:rFonts w:ascii="宋体" w:hAnsi="宋体"/>
          <w:color w:val="000000"/>
          <w:szCs w:val="21"/>
        </w:rPr>
        <w:t>从唱价之日起至授予合同期间，应答人不得就与其应答有关的事项与</w:t>
      </w:r>
      <w:r>
        <w:rPr>
          <w:rFonts w:hint="eastAsia" w:ascii="宋体" w:hAnsi="宋体"/>
          <w:color w:val="000000"/>
          <w:szCs w:val="21"/>
        </w:rPr>
        <w:t>招标人</w:t>
      </w:r>
      <w:r>
        <w:rPr>
          <w:rFonts w:ascii="宋体" w:hAnsi="宋体"/>
          <w:color w:val="000000"/>
          <w:szCs w:val="21"/>
        </w:rPr>
        <w:t>和评审委员会的人员私下接触。</w:t>
      </w:r>
    </w:p>
    <w:p w14:paraId="73A9D0B1">
      <w:pPr>
        <w:numPr>
          <w:ilvl w:val="0"/>
          <w:numId w:val="23"/>
        </w:numPr>
        <w:tabs>
          <w:tab w:val="left" w:pos="709"/>
        </w:tabs>
        <w:adjustRightInd w:val="0"/>
        <w:snapToGrid w:val="0"/>
        <w:spacing w:after="120" w:line="360" w:lineRule="auto"/>
        <w:ind w:left="720" w:hanging="720"/>
        <w:rPr>
          <w:rFonts w:ascii="宋体" w:hAnsi="宋体"/>
          <w:color w:val="000000"/>
          <w:szCs w:val="21"/>
        </w:rPr>
      </w:pPr>
      <w:r>
        <w:rPr>
          <w:rFonts w:ascii="宋体" w:hAnsi="宋体"/>
          <w:color w:val="000000"/>
          <w:szCs w:val="21"/>
        </w:rPr>
        <w:t>应答人试图对</w:t>
      </w:r>
      <w:r>
        <w:rPr>
          <w:rFonts w:hint="eastAsia" w:ascii="宋体" w:hAnsi="宋体"/>
          <w:color w:val="000000"/>
          <w:szCs w:val="21"/>
        </w:rPr>
        <w:t>招标人</w:t>
      </w:r>
      <w:r>
        <w:rPr>
          <w:rFonts w:ascii="宋体" w:hAnsi="宋体"/>
          <w:color w:val="000000"/>
          <w:szCs w:val="21"/>
        </w:rPr>
        <w:t>和评审委员会的评审、比较或中选候选人的决定进行影响，都可能导致其应答被拒绝。</w:t>
      </w:r>
    </w:p>
    <w:p w14:paraId="1479F683">
      <w:pPr>
        <w:numPr>
          <w:ilvl w:val="0"/>
          <w:numId w:val="23"/>
        </w:numPr>
        <w:tabs>
          <w:tab w:val="left" w:pos="709"/>
        </w:tabs>
        <w:adjustRightInd w:val="0"/>
        <w:snapToGrid w:val="0"/>
        <w:spacing w:after="120" w:line="360" w:lineRule="auto"/>
        <w:ind w:left="720" w:hanging="720"/>
        <w:rPr>
          <w:rFonts w:ascii="宋体" w:hAnsi="宋体"/>
          <w:color w:val="000000"/>
          <w:szCs w:val="21"/>
        </w:rPr>
      </w:pPr>
      <w:r>
        <w:rPr>
          <w:rFonts w:ascii="宋体" w:hAnsi="宋体"/>
          <w:color w:val="000000"/>
          <w:szCs w:val="21"/>
        </w:rPr>
        <w:t>在确定中选人之前,</w:t>
      </w:r>
      <w:r>
        <w:rPr>
          <w:rFonts w:hint="eastAsia" w:ascii="宋体" w:hAnsi="宋体"/>
          <w:color w:val="000000"/>
          <w:szCs w:val="21"/>
        </w:rPr>
        <w:t>招标人</w:t>
      </w:r>
      <w:r>
        <w:rPr>
          <w:rFonts w:ascii="宋体" w:hAnsi="宋体"/>
          <w:color w:val="000000"/>
          <w:szCs w:val="21"/>
        </w:rPr>
        <w:t>不得与应答人就应答价格，应答方案等实质性内容进行谈判</w:t>
      </w:r>
      <w:r>
        <w:rPr>
          <w:rFonts w:hint="eastAsia" w:ascii="宋体" w:hAnsi="宋体"/>
          <w:color w:val="000000"/>
          <w:szCs w:val="21"/>
        </w:rPr>
        <w:t>。</w:t>
      </w:r>
    </w:p>
    <w:p w14:paraId="64FADBEB">
      <w:pPr>
        <w:pStyle w:val="7"/>
        <w:adjustRightInd w:val="0"/>
        <w:snapToGrid w:val="0"/>
        <w:spacing w:line="360" w:lineRule="auto"/>
        <w:rPr>
          <w:rFonts w:ascii="宋体" w:hAnsi="宋体" w:eastAsia="宋体"/>
          <w:sz w:val="21"/>
          <w:szCs w:val="21"/>
        </w:rPr>
      </w:pPr>
      <w:bookmarkStart w:id="144" w:name="_Toc488655860"/>
      <w:bookmarkStart w:id="145" w:name="_Toc107822516"/>
      <w:bookmarkStart w:id="146" w:name="_Toc24250"/>
      <w:bookmarkStart w:id="147" w:name="_Toc105770525"/>
      <w:bookmarkStart w:id="148" w:name="_Toc226969309"/>
      <w:bookmarkStart w:id="149" w:name="_Toc227057915"/>
      <w:r>
        <w:rPr>
          <w:rFonts w:ascii="宋体" w:hAnsi="宋体" w:eastAsia="宋体"/>
          <w:sz w:val="21"/>
          <w:szCs w:val="21"/>
        </w:rPr>
        <w:t>中选通知书</w:t>
      </w:r>
      <w:bookmarkEnd w:id="144"/>
      <w:bookmarkEnd w:id="145"/>
      <w:bookmarkEnd w:id="146"/>
      <w:bookmarkEnd w:id="147"/>
      <w:bookmarkEnd w:id="148"/>
      <w:bookmarkEnd w:id="149"/>
    </w:p>
    <w:p w14:paraId="5B373048">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hint="eastAsia" w:ascii="宋体" w:hAnsi="宋体"/>
          <w:color w:val="000000"/>
          <w:szCs w:val="21"/>
        </w:rPr>
        <w:t>评审委员会根据第五章规定的评审办法完成评审，并根据得分排名推荐中选候选人。</w:t>
      </w:r>
    </w:p>
    <w:p w14:paraId="2D5E85CE">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hint="eastAsia" w:ascii="宋体" w:hAnsi="宋体"/>
          <w:color w:val="000000"/>
          <w:szCs w:val="21"/>
        </w:rPr>
        <w:t>中选候选人名单将在应答人须知前附表所载明的媒介进行公示，公示日期不少于2日。</w:t>
      </w:r>
    </w:p>
    <w:p w14:paraId="284A520C">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ascii="宋体" w:hAnsi="宋体"/>
          <w:color w:val="000000"/>
          <w:szCs w:val="21"/>
        </w:rPr>
        <w:t>中选人确定后，</w:t>
      </w:r>
      <w:r>
        <w:rPr>
          <w:rFonts w:hint="eastAsia" w:ascii="宋体" w:hAnsi="宋体"/>
          <w:color w:val="000000"/>
          <w:szCs w:val="21"/>
        </w:rPr>
        <w:t>招标人</w:t>
      </w:r>
      <w:r>
        <w:rPr>
          <w:rFonts w:ascii="宋体" w:hAnsi="宋体"/>
          <w:color w:val="000000"/>
          <w:szCs w:val="21"/>
        </w:rPr>
        <w:t>或委托</w:t>
      </w:r>
      <w:r>
        <w:rPr>
          <w:rFonts w:hint="eastAsia" w:ascii="宋体" w:hAnsi="宋体"/>
          <w:color w:val="000000"/>
          <w:szCs w:val="21"/>
        </w:rPr>
        <w:t>招标</w:t>
      </w:r>
      <w:r>
        <w:rPr>
          <w:rFonts w:ascii="宋体" w:hAnsi="宋体"/>
          <w:color w:val="000000"/>
          <w:szCs w:val="21"/>
        </w:rPr>
        <w:t>机构向中选人发出中选通知书，同时通知未中选人。</w:t>
      </w:r>
    </w:p>
    <w:p w14:paraId="5CED93A9">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ascii="宋体" w:hAnsi="宋体"/>
          <w:color w:val="000000"/>
          <w:szCs w:val="21"/>
        </w:rPr>
        <w:t>中选通知书是</w:t>
      </w:r>
      <w:r>
        <w:rPr>
          <w:rFonts w:hint="eastAsia" w:ascii="宋体" w:hAnsi="宋体"/>
          <w:color w:val="000000"/>
          <w:szCs w:val="21"/>
        </w:rPr>
        <w:t>招标文件</w:t>
      </w:r>
      <w:r>
        <w:rPr>
          <w:rFonts w:ascii="宋体" w:hAnsi="宋体"/>
          <w:color w:val="000000"/>
          <w:szCs w:val="21"/>
        </w:rPr>
        <w:t>和合同的组成部分。</w:t>
      </w:r>
    </w:p>
    <w:p w14:paraId="6A842659">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ascii="宋体" w:hAnsi="宋体"/>
          <w:color w:val="000000"/>
          <w:szCs w:val="21"/>
        </w:rPr>
        <w:t>中选通知书对</w:t>
      </w:r>
      <w:r>
        <w:rPr>
          <w:rFonts w:hint="eastAsia" w:ascii="宋体" w:hAnsi="宋体"/>
          <w:color w:val="000000"/>
          <w:szCs w:val="21"/>
        </w:rPr>
        <w:t>招标人</w:t>
      </w:r>
      <w:r>
        <w:rPr>
          <w:rFonts w:ascii="宋体" w:hAnsi="宋体"/>
          <w:color w:val="000000"/>
          <w:szCs w:val="21"/>
        </w:rPr>
        <w:t>和中选人具有法律约束力。中选通知书发出后，</w:t>
      </w:r>
      <w:r>
        <w:rPr>
          <w:rFonts w:hint="eastAsia" w:ascii="宋体" w:hAnsi="宋体"/>
          <w:color w:val="000000"/>
          <w:szCs w:val="21"/>
        </w:rPr>
        <w:t>招标人</w:t>
      </w:r>
      <w:r>
        <w:rPr>
          <w:rFonts w:ascii="宋体" w:hAnsi="宋体"/>
          <w:color w:val="000000"/>
          <w:szCs w:val="21"/>
        </w:rPr>
        <w:t>改变中选结果或者中选人放弃中选的，应当承担法律责任。</w:t>
      </w:r>
    </w:p>
    <w:p w14:paraId="074D6060">
      <w:pPr>
        <w:numPr>
          <w:ilvl w:val="0"/>
          <w:numId w:val="24"/>
        </w:numPr>
        <w:tabs>
          <w:tab w:val="left" w:pos="709"/>
          <w:tab w:val="clear" w:pos="0"/>
        </w:tabs>
        <w:adjustRightInd w:val="0"/>
        <w:snapToGrid w:val="0"/>
        <w:spacing w:line="360" w:lineRule="auto"/>
        <w:ind w:left="709" w:hanging="709"/>
        <w:rPr>
          <w:rFonts w:ascii="宋体" w:hAnsi="宋体"/>
          <w:color w:val="000000"/>
          <w:szCs w:val="21"/>
        </w:rPr>
      </w:pPr>
      <w:r>
        <w:rPr>
          <w:rFonts w:ascii="宋体" w:hAnsi="宋体"/>
          <w:color w:val="000000"/>
          <w:szCs w:val="21"/>
        </w:rPr>
        <w:t>在中选人按照本须知的规定提交履约保证金后，</w:t>
      </w:r>
      <w:r>
        <w:rPr>
          <w:rFonts w:hint="eastAsia" w:ascii="宋体" w:hAnsi="宋体"/>
          <w:color w:val="000000"/>
          <w:szCs w:val="21"/>
        </w:rPr>
        <w:t>招标人</w:t>
      </w:r>
      <w:r>
        <w:rPr>
          <w:rFonts w:ascii="宋体" w:hAnsi="宋体"/>
          <w:color w:val="000000"/>
          <w:szCs w:val="21"/>
        </w:rPr>
        <w:t>将按照本须知的规定退还所有应答保证金。</w:t>
      </w:r>
    </w:p>
    <w:p w14:paraId="513F2722">
      <w:pPr>
        <w:pStyle w:val="7"/>
        <w:adjustRightInd w:val="0"/>
        <w:snapToGrid w:val="0"/>
        <w:spacing w:line="360" w:lineRule="auto"/>
        <w:rPr>
          <w:rFonts w:ascii="宋体" w:hAnsi="宋体" w:eastAsia="宋体"/>
          <w:sz w:val="21"/>
          <w:szCs w:val="21"/>
        </w:rPr>
      </w:pPr>
      <w:bookmarkStart w:id="150" w:name="_Toc107822517"/>
      <w:bookmarkStart w:id="151" w:name="_Toc105770526"/>
      <w:bookmarkStart w:id="152" w:name="_Toc227057916"/>
      <w:bookmarkStart w:id="153" w:name="_Toc226969310"/>
      <w:bookmarkStart w:id="154" w:name="_Toc12344"/>
      <w:r>
        <w:rPr>
          <w:rFonts w:ascii="宋体" w:hAnsi="宋体" w:eastAsia="宋体"/>
          <w:sz w:val="21"/>
          <w:szCs w:val="21"/>
        </w:rPr>
        <w:t>签订</w:t>
      </w:r>
      <w:r>
        <w:rPr>
          <w:rFonts w:hint="eastAsia" w:ascii="宋体" w:hAnsi="宋体" w:eastAsia="宋体"/>
          <w:sz w:val="21"/>
          <w:szCs w:val="21"/>
        </w:rPr>
        <w:t>书面</w:t>
      </w:r>
      <w:r>
        <w:rPr>
          <w:rFonts w:ascii="宋体" w:hAnsi="宋体" w:eastAsia="宋体"/>
          <w:sz w:val="21"/>
          <w:szCs w:val="21"/>
        </w:rPr>
        <w:t>合同</w:t>
      </w:r>
      <w:bookmarkEnd w:id="150"/>
      <w:bookmarkEnd w:id="151"/>
      <w:bookmarkEnd w:id="152"/>
      <w:bookmarkEnd w:id="153"/>
      <w:bookmarkEnd w:id="154"/>
    </w:p>
    <w:p w14:paraId="05D67E0A">
      <w:pPr>
        <w:numPr>
          <w:ilvl w:val="0"/>
          <w:numId w:val="25"/>
        </w:numPr>
        <w:tabs>
          <w:tab w:val="left" w:pos="720"/>
          <w:tab w:val="clear" w:pos="0"/>
        </w:tabs>
        <w:adjustRightInd w:val="0"/>
        <w:snapToGrid w:val="0"/>
        <w:spacing w:line="360" w:lineRule="auto"/>
        <w:ind w:left="720" w:hanging="720"/>
        <w:rPr>
          <w:rFonts w:ascii="宋体" w:hAnsi="宋体"/>
          <w:color w:val="000000"/>
          <w:szCs w:val="21"/>
        </w:rPr>
      </w:pPr>
      <w:r>
        <w:rPr>
          <w:rFonts w:hint="eastAsia" w:ascii="宋体" w:hAnsi="宋体"/>
          <w:color w:val="000000"/>
          <w:szCs w:val="21"/>
        </w:rPr>
        <w:t>招标人</w:t>
      </w:r>
      <w:r>
        <w:rPr>
          <w:rFonts w:ascii="宋体" w:hAnsi="宋体"/>
          <w:color w:val="000000"/>
          <w:szCs w:val="21"/>
        </w:rPr>
        <w:t>在中选通知书中载明与中选人签订书面合同的时间地点，</w:t>
      </w:r>
      <w:r>
        <w:rPr>
          <w:rFonts w:hint="eastAsia" w:ascii="宋体" w:hAnsi="宋体"/>
          <w:color w:val="000000"/>
          <w:szCs w:val="21"/>
        </w:rPr>
        <w:t>招标人</w:t>
      </w:r>
      <w:r>
        <w:rPr>
          <w:rFonts w:ascii="宋体" w:hAnsi="宋体"/>
          <w:color w:val="000000"/>
          <w:szCs w:val="21"/>
        </w:rPr>
        <w:t>与中选人不再订立背离合同实质性内容的其他协议。</w:t>
      </w:r>
    </w:p>
    <w:p w14:paraId="1B9DD76B">
      <w:pPr>
        <w:numPr>
          <w:ilvl w:val="0"/>
          <w:numId w:val="25"/>
        </w:numPr>
        <w:tabs>
          <w:tab w:val="left" w:pos="709"/>
          <w:tab w:val="clear" w:pos="0"/>
        </w:tabs>
        <w:adjustRightInd w:val="0"/>
        <w:snapToGrid w:val="0"/>
        <w:spacing w:line="360" w:lineRule="auto"/>
        <w:ind w:left="709" w:hanging="703"/>
        <w:rPr>
          <w:rFonts w:ascii="宋体" w:hAnsi="宋体"/>
          <w:color w:val="000000"/>
          <w:szCs w:val="21"/>
        </w:rPr>
      </w:pPr>
      <w:r>
        <w:rPr>
          <w:rFonts w:hint="eastAsia" w:ascii="宋体" w:hAnsi="宋体"/>
          <w:color w:val="000000"/>
          <w:szCs w:val="21"/>
        </w:rPr>
        <w:t>招标人</w:t>
      </w:r>
      <w:r>
        <w:rPr>
          <w:rFonts w:ascii="宋体" w:hAnsi="宋体"/>
          <w:color w:val="000000"/>
          <w:szCs w:val="21"/>
        </w:rPr>
        <w:t>在发送中选通知书的同时，将把</w:t>
      </w:r>
      <w:r>
        <w:rPr>
          <w:rFonts w:hint="eastAsia" w:ascii="宋体" w:hAnsi="宋体"/>
          <w:color w:val="000000"/>
          <w:szCs w:val="21"/>
        </w:rPr>
        <w:t>招标文件</w:t>
      </w:r>
      <w:r>
        <w:rPr>
          <w:rFonts w:ascii="宋体" w:hAnsi="宋体"/>
          <w:color w:val="000000"/>
          <w:szCs w:val="21"/>
        </w:rPr>
        <w:t>中提供的合同格式连同签订合同的相关事宜同时发送给中选人。</w:t>
      </w:r>
    </w:p>
    <w:p w14:paraId="11E6323E">
      <w:pPr>
        <w:numPr>
          <w:ilvl w:val="0"/>
          <w:numId w:val="25"/>
        </w:numPr>
        <w:tabs>
          <w:tab w:val="left" w:pos="709"/>
          <w:tab w:val="clear" w:pos="0"/>
        </w:tabs>
        <w:adjustRightInd w:val="0"/>
        <w:snapToGrid w:val="0"/>
        <w:spacing w:line="360" w:lineRule="auto"/>
        <w:ind w:left="709" w:hanging="703"/>
        <w:rPr>
          <w:rFonts w:ascii="宋体" w:hAnsi="宋体"/>
          <w:color w:val="000000"/>
          <w:szCs w:val="21"/>
        </w:rPr>
      </w:pPr>
      <w:r>
        <w:rPr>
          <w:rFonts w:ascii="宋体" w:hAnsi="宋体"/>
          <w:color w:val="000000"/>
          <w:szCs w:val="21"/>
        </w:rPr>
        <w:t>中选人在收到中选通知书后</w:t>
      </w:r>
      <w:r>
        <w:rPr>
          <w:rFonts w:ascii="宋体" w:hAnsi="宋体"/>
          <w:bCs/>
          <w:color w:val="000000"/>
          <w:szCs w:val="21"/>
        </w:rPr>
        <w:t>按</w:t>
      </w:r>
      <w:r>
        <w:rPr>
          <w:rFonts w:hint="eastAsia" w:ascii="宋体" w:hAnsi="宋体"/>
          <w:color w:val="000000"/>
          <w:szCs w:val="21"/>
        </w:rPr>
        <w:t>招标文件</w:t>
      </w:r>
      <w:r>
        <w:rPr>
          <w:rFonts w:ascii="宋体" w:hAnsi="宋体"/>
          <w:color w:val="000000"/>
          <w:szCs w:val="21"/>
        </w:rPr>
        <w:t>规定的期限内，与</w:t>
      </w:r>
      <w:r>
        <w:rPr>
          <w:rFonts w:hint="eastAsia" w:ascii="宋体" w:hAnsi="宋体"/>
          <w:color w:val="000000"/>
          <w:szCs w:val="21"/>
        </w:rPr>
        <w:t>招标人</w:t>
      </w:r>
      <w:r>
        <w:rPr>
          <w:rFonts w:ascii="宋体" w:hAnsi="宋体"/>
          <w:color w:val="000000"/>
          <w:szCs w:val="21"/>
        </w:rPr>
        <w:t>签订合同。</w:t>
      </w:r>
    </w:p>
    <w:p w14:paraId="272AB94C">
      <w:pPr>
        <w:pStyle w:val="7"/>
        <w:adjustRightInd w:val="0"/>
        <w:snapToGrid w:val="0"/>
        <w:spacing w:line="360" w:lineRule="auto"/>
        <w:rPr>
          <w:rFonts w:ascii="宋体" w:hAnsi="宋体" w:eastAsia="宋体"/>
          <w:sz w:val="21"/>
          <w:szCs w:val="21"/>
        </w:rPr>
      </w:pPr>
      <w:bookmarkStart w:id="155" w:name="_Toc105770527"/>
      <w:bookmarkStart w:id="156" w:name="_Toc4556"/>
      <w:bookmarkStart w:id="157" w:name="_Toc226969311"/>
      <w:bookmarkStart w:id="158" w:name="_Toc488655865"/>
      <w:bookmarkStart w:id="159" w:name="_Toc107822518"/>
      <w:bookmarkStart w:id="160" w:name="_Toc227057917"/>
      <w:r>
        <w:rPr>
          <w:rFonts w:ascii="宋体" w:hAnsi="宋体" w:eastAsia="宋体"/>
          <w:sz w:val="21"/>
          <w:szCs w:val="21"/>
        </w:rPr>
        <w:t>履约保证金</w:t>
      </w:r>
      <w:bookmarkEnd w:id="155"/>
      <w:bookmarkEnd w:id="156"/>
      <w:bookmarkEnd w:id="157"/>
      <w:bookmarkEnd w:id="158"/>
      <w:bookmarkEnd w:id="159"/>
      <w:bookmarkEnd w:id="160"/>
    </w:p>
    <w:p w14:paraId="30A2F8AC">
      <w:pPr>
        <w:numPr>
          <w:ilvl w:val="0"/>
          <w:numId w:val="26"/>
        </w:numPr>
        <w:tabs>
          <w:tab w:val="left" w:pos="709"/>
          <w:tab w:val="clear" w:pos="0"/>
        </w:tabs>
        <w:adjustRightInd w:val="0"/>
        <w:snapToGrid w:val="0"/>
        <w:spacing w:line="360" w:lineRule="auto"/>
        <w:ind w:left="720" w:hanging="720"/>
        <w:rPr>
          <w:rFonts w:ascii="宋体" w:hAnsi="宋体"/>
          <w:color w:val="000000"/>
          <w:szCs w:val="21"/>
        </w:rPr>
      </w:pPr>
      <w:r>
        <w:rPr>
          <w:rFonts w:hint="eastAsia" w:ascii="宋体" w:hAnsi="宋体"/>
          <w:color w:val="000000"/>
          <w:szCs w:val="21"/>
        </w:rPr>
        <w:t>中选人在收到招标人的中选通知书后，应在签订合同前按照招标文件的规定，采用招标文件中提供的履约保证金银行保函格式或买方可以接受的其他形式向买方提交履约保证金。</w:t>
      </w:r>
    </w:p>
    <w:p w14:paraId="5C96DF1C">
      <w:pPr>
        <w:numPr>
          <w:ilvl w:val="0"/>
          <w:numId w:val="26"/>
        </w:numPr>
        <w:tabs>
          <w:tab w:val="left" w:pos="709"/>
          <w:tab w:val="clear" w:pos="0"/>
        </w:tabs>
        <w:adjustRightInd w:val="0"/>
        <w:snapToGrid w:val="0"/>
        <w:spacing w:line="360" w:lineRule="auto"/>
        <w:ind w:left="720" w:hanging="720"/>
        <w:rPr>
          <w:rFonts w:ascii="宋体" w:hAnsi="宋体"/>
          <w:color w:val="000000"/>
          <w:szCs w:val="21"/>
        </w:rPr>
      </w:pPr>
      <w:r>
        <w:rPr>
          <w:rFonts w:hint="eastAsia" w:ascii="宋体" w:hAnsi="宋体"/>
          <w:color w:val="000000"/>
          <w:szCs w:val="21"/>
        </w:rPr>
        <w:t>中选人不能按照招标文件要求递交履约担保的，视为放弃中选，其应答保证金不予退还，给招标人造成的损失超过应答保证金数额的，中选人还应当对超过部分予以赔偿</w:t>
      </w:r>
      <w:r>
        <w:rPr>
          <w:rFonts w:ascii="宋体" w:hAnsi="宋体"/>
          <w:color w:val="000000"/>
          <w:szCs w:val="21"/>
        </w:rPr>
        <w:t>。在此情况下，</w:t>
      </w:r>
      <w:r>
        <w:rPr>
          <w:rFonts w:hint="eastAsia" w:ascii="宋体" w:hAnsi="宋体"/>
          <w:color w:val="000000"/>
          <w:szCs w:val="21"/>
        </w:rPr>
        <w:t>招标人</w:t>
      </w:r>
      <w:r>
        <w:rPr>
          <w:rFonts w:ascii="宋体" w:hAnsi="宋体"/>
          <w:color w:val="000000"/>
          <w:szCs w:val="21"/>
        </w:rPr>
        <w:t>可将合同授予下一个中选候选人，或重新</w:t>
      </w:r>
      <w:r>
        <w:rPr>
          <w:rFonts w:hint="eastAsia" w:ascii="宋体" w:hAnsi="宋体"/>
          <w:color w:val="000000"/>
          <w:szCs w:val="21"/>
        </w:rPr>
        <w:t>招标。</w:t>
      </w:r>
    </w:p>
    <w:p w14:paraId="6D04ED7C">
      <w:pPr>
        <w:pStyle w:val="7"/>
        <w:adjustRightInd w:val="0"/>
        <w:snapToGrid w:val="0"/>
        <w:spacing w:line="360" w:lineRule="auto"/>
        <w:rPr>
          <w:rFonts w:ascii="宋体" w:hAnsi="宋体" w:eastAsia="宋体"/>
          <w:sz w:val="21"/>
          <w:szCs w:val="21"/>
        </w:rPr>
      </w:pPr>
      <w:bookmarkStart w:id="161" w:name="_Toc12949"/>
      <w:bookmarkStart w:id="162" w:name="_Toc105770528"/>
      <w:r>
        <w:rPr>
          <w:rFonts w:hint="eastAsia" w:ascii="宋体" w:hAnsi="宋体" w:eastAsia="宋体"/>
          <w:sz w:val="21"/>
          <w:szCs w:val="21"/>
        </w:rPr>
        <w:t>投诉处理</w:t>
      </w:r>
      <w:bookmarkEnd w:id="161"/>
      <w:bookmarkEnd w:id="162"/>
    </w:p>
    <w:p w14:paraId="3DE8CF9F">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见应答人须知前附表。</w:t>
      </w:r>
    </w:p>
    <w:p w14:paraId="30F6439F">
      <w:pPr>
        <w:pStyle w:val="7"/>
        <w:adjustRightInd w:val="0"/>
        <w:snapToGrid w:val="0"/>
        <w:spacing w:line="360" w:lineRule="auto"/>
        <w:rPr>
          <w:rFonts w:ascii="宋体" w:hAnsi="宋体" w:eastAsia="宋体"/>
          <w:sz w:val="21"/>
          <w:szCs w:val="21"/>
        </w:rPr>
      </w:pPr>
      <w:bookmarkStart w:id="163" w:name="_Toc26779"/>
      <w:bookmarkStart w:id="164" w:name="_Toc105770529"/>
      <w:bookmarkStart w:id="165" w:name="_Toc227057918"/>
      <w:bookmarkStart w:id="166" w:name="_Toc226969312"/>
      <w:bookmarkStart w:id="167" w:name="_Toc107822519"/>
      <w:bookmarkStart w:id="168" w:name="_Toc488655867"/>
      <w:r>
        <w:rPr>
          <w:rFonts w:hint="eastAsia" w:ascii="宋体" w:hAnsi="宋体" w:eastAsia="宋体"/>
          <w:sz w:val="21"/>
          <w:szCs w:val="21"/>
        </w:rPr>
        <w:t>招标</w:t>
      </w:r>
      <w:r>
        <w:rPr>
          <w:rFonts w:ascii="宋体" w:hAnsi="宋体" w:eastAsia="宋体"/>
          <w:sz w:val="21"/>
          <w:szCs w:val="21"/>
        </w:rPr>
        <w:t>服务费</w:t>
      </w:r>
      <w:bookmarkEnd w:id="163"/>
      <w:bookmarkEnd w:id="164"/>
      <w:bookmarkEnd w:id="165"/>
      <w:bookmarkEnd w:id="166"/>
      <w:bookmarkEnd w:id="167"/>
      <w:bookmarkEnd w:id="168"/>
    </w:p>
    <w:p w14:paraId="3D382EF1">
      <w:pPr>
        <w:numPr>
          <w:ilvl w:val="0"/>
          <w:numId w:val="27"/>
        </w:numPr>
        <w:tabs>
          <w:tab w:val="left" w:pos="709"/>
          <w:tab w:val="clear" w:pos="0"/>
        </w:tabs>
        <w:adjustRightInd w:val="0"/>
        <w:snapToGrid w:val="0"/>
        <w:spacing w:line="360" w:lineRule="auto"/>
        <w:ind w:left="720" w:hanging="720"/>
        <w:rPr>
          <w:rFonts w:ascii="宋体" w:hAnsi="宋体"/>
          <w:color w:val="000000"/>
          <w:szCs w:val="21"/>
        </w:rPr>
      </w:pPr>
      <w:r>
        <w:rPr>
          <w:rFonts w:ascii="宋体" w:hAnsi="宋体"/>
          <w:color w:val="000000"/>
          <w:szCs w:val="21"/>
        </w:rPr>
        <w:t>采用</w:t>
      </w:r>
      <w:r>
        <w:rPr>
          <w:rFonts w:hint="eastAsia" w:ascii="宋体" w:hAnsi="宋体"/>
          <w:color w:val="000000"/>
          <w:szCs w:val="21"/>
        </w:rPr>
        <w:t>招标</w:t>
      </w:r>
      <w:r>
        <w:rPr>
          <w:rFonts w:ascii="宋体" w:hAnsi="宋体"/>
          <w:color w:val="000000"/>
          <w:szCs w:val="21"/>
        </w:rPr>
        <w:t>方式的，应答人中选后，应按照</w:t>
      </w:r>
      <w:r>
        <w:rPr>
          <w:rFonts w:hint="eastAsia" w:ascii="宋体" w:hAnsi="宋体"/>
          <w:color w:val="000000"/>
          <w:szCs w:val="21"/>
        </w:rPr>
        <w:t>招标文件</w:t>
      </w:r>
      <w:r>
        <w:rPr>
          <w:rFonts w:ascii="宋体" w:hAnsi="宋体"/>
          <w:color w:val="000000"/>
          <w:szCs w:val="21"/>
        </w:rPr>
        <w:t>规定的数额向</w:t>
      </w:r>
      <w:r>
        <w:rPr>
          <w:rFonts w:hint="eastAsia" w:ascii="宋体" w:hAnsi="宋体"/>
          <w:color w:val="000000"/>
          <w:szCs w:val="21"/>
        </w:rPr>
        <w:t>招标</w:t>
      </w:r>
      <w:r>
        <w:rPr>
          <w:rFonts w:ascii="宋体" w:hAnsi="宋体"/>
          <w:color w:val="000000"/>
          <w:szCs w:val="21"/>
        </w:rPr>
        <w:t>机构交纳</w:t>
      </w:r>
      <w:r>
        <w:rPr>
          <w:rFonts w:hint="eastAsia" w:ascii="宋体" w:hAnsi="宋体"/>
          <w:color w:val="000000"/>
          <w:szCs w:val="21"/>
        </w:rPr>
        <w:t>招标</w:t>
      </w:r>
      <w:r>
        <w:rPr>
          <w:rFonts w:ascii="宋体" w:hAnsi="宋体"/>
          <w:color w:val="000000"/>
          <w:szCs w:val="21"/>
        </w:rPr>
        <w:t>服务费。</w:t>
      </w:r>
    </w:p>
    <w:p w14:paraId="1DB479DD">
      <w:pPr>
        <w:widowControl/>
        <w:numPr>
          <w:ilvl w:val="0"/>
          <w:numId w:val="27"/>
        </w:numPr>
        <w:tabs>
          <w:tab w:val="left" w:pos="709"/>
          <w:tab w:val="clear" w:pos="0"/>
        </w:tabs>
        <w:adjustRightInd w:val="0"/>
        <w:snapToGrid w:val="0"/>
        <w:spacing w:after="120" w:line="360" w:lineRule="auto"/>
        <w:ind w:left="720" w:hanging="720"/>
        <w:jc w:val="left"/>
        <w:rPr>
          <w:rFonts w:ascii="宋体" w:hAnsi="宋体"/>
          <w:bCs/>
          <w:kern w:val="44"/>
          <w:szCs w:val="21"/>
        </w:rPr>
      </w:pPr>
      <w:r>
        <w:rPr>
          <w:rFonts w:hint="eastAsia" w:ascii="宋体" w:hAnsi="宋体"/>
          <w:color w:val="000000"/>
          <w:szCs w:val="21"/>
        </w:rPr>
        <w:t>招标</w:t>
      </w:r>
      <w:r>
        <w:rPr>
          <w:rFonts w:ascii="宋体" w:hAnsi="宋体"/>
          <w:color w:val="000000"/>
          <w:szCs w:val="21"/>
        </w:rPr>
        <w:t>服务费按照</w:t>
      </w:r>
      <w:r>
        <w:rPr>
          <w:rFonts w:hint="eastAsia" w:ascii="宋体" w:hAnsi="宋体"/>
          <w:color w:val="000000"/>
          <w:szCs w:val="21"/>
        </w:rPr>
        <w:t>招标文件</w:t>
      </w:r>
      <w:r>
        <w:rPr>
          <w:rFonts w:ascii="宋体" w:hAnsi="宋体"/>
          <w:color w:val="000000"/>
          <w:szCs w:val="21"/>
        </w:rPr>
        <w:t>规定的形式之一提交（见应答人须知前附表）。</w:t>
      </w:r>
      <w:bookmarkStart w:id="169" w:name="_Toc107822520"/>
      <w:bookmarkStart w:id="170" w:name="_Toc226969316"/>
      <w:bookmarkStart w:id="171" w:name="_Toc227057922"/>
      <w:r>
        <w:rPr>
          <w:rFonts w:ascii="宋体" w:hAnsi="宋体"/>
          <w:szCs w:val="21"/>
        </w:rPr>
        <w:br w:type="page"/>
      </w:r>
    </w:p>
    <w:bookmarkEnd w:id="169"/>
    <w:bookmarkEnd w:id="170"/>
    <w:bookmarkEnd w:id="171"/>
    <w:p w14:paraId="2979C3FF">
      <w:pPr>
        <w:pStyle w:val="6"/>
        <w:snapToGrid w:val="0"/>
        <w:spacing w:line="360" w:lineRule="auto"/>
        <w:rPr>
          <w:rFonts w:ascii="宋体" w:hAnsi="宋体" w:eastAsia="宋体"/>
          <w:b/>
          <w:sz w:val="21"/>
          <w:szCs w:val="21"/>
        </w:rPr>
      </w:pPr>
      <w:bookmarkStart w:id="172" w:name="_Toc105770530"/>
      <w:bookmarkStart w:id="173" w:name="_Toc667"/>
      <w:r>
        <w:rPr>
          <w:rFonts w:hint="eastAsia" w:ascii="宋体" w:hAnsi="宋体" w:eastAsia="宋体"/>
          <w:b/>
          <w:sz w:val="21"/>
          <w:szCs w:val="21"/>
        </w:rPr>
        <w:t>商务</w:t>
      </w:r>
      <w:r>
        <w:rPr>
          <w:rFonts w:ascii="宋体" w:hAnsi="宋体" w:eastAsia="宋体"/>
          <w:b/>
          <w:sz w:val="21"/>
          <w:szCs w:val="21"/>
        </w:rPr>
        <w:t>规范书</w:t>
      </w:r>
      <w:bookmarkEnd w:id="172"/>
      <w:bookmarkEnd w:id="173"/>
    </w:p>
    <w:p w14:paraId="05DB18F7">
      <w:pPr>
        <w:tabs>
          <w:tab w:val="left" w:pos="318"/>
        </w:tabs>
        <w:snapToGrid w:val="0"/>
        <w:spacing w:line="360" w:lineRule="auto"/>
        <w:ind w:firstLine="420" w:firstLineChars="200"/>
        <w:rPr>
          <w:rFonts w:ascii="宋体" w:hAnsi="宋体"/>
          <w:bCs/>
          <w:szCs w:val="21"/>
        </w:rPr>
      </w:pPr>
      <w:r>
        <w:rPr>
          <w:rFonts w:ascii="宋体" w:hAnsi="宋体"/>
          <w:bCs/>
          <w:szCs w:val="21"/>
        </w:rPr>
        <w:t>本章的条款具体见</w:t>
      </w:r>
      <w:r>
        <w:rPr>
          <w:rFonts w:hint="eastAsia" w:ascii="宋体" w:hAnsi="宋体"/>
          <w:bCs/>
          <w:szCs w:val="21"/>
        </w:rPr>
        <w:t>招标文件</w:t>
      </w:r>
      <w:r>
        <w:rPr>
          <w:rFonts w:ascii="宋体" w:hAnsi="宋体"/>
          <w:bCs/>
          <w:szCs w:val="21"/>
        </w:rPr>
        <w:t>附件</w:t>
      </w: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商务规范书</w:t>
      </w:r>
      <w:r>
        <w:rPr>
          <w:rFonts w:ascii="宋体" w:hAnsi="宋体"/>
          <w:bCs/>
          <w:color w:val="000000" w:themeColor="text1"/>
          <w:szCs w:val="21"/>
          <w14:textFill>
            <w14:solidFill>
              <w14:schemeClr w14:val="tx1"/>
            </w14:solidFill>
          </w14:textFill>
        </w:rPr>
        <w:t>》，应答人</w:t>
      </w:r>
      <w:r>
        <w:rPr>
          <w:rFonts w:hint="eastAsia" w:ascii="宋体" w:hAnsi="宋体"/>
          <w:b/>
          <w:color w:val="000000" w:themeColor="text1"/>
          <w:szCs w:val="21"/>
          <w14:textFill>
            <w14:solidFill>
              <w14:schemeClr w14:val="tx1"/>
            </w14:solidFill>
          </w14:textFill>
        </w:rPr>
        <w:t>无须</w:t>
      </w:r>
      <w:r>
        <w:rPr>
          <w:rFonts w:ascii="宋体" w:hAnsi="宋体"/>
          <w:bCs/>
          <w:color w:val="000000" w:themeColor="text1"/>
          <w:szCs w:val="21"/>
          <w14:textFill>
            <w14:solidFill>
              <w14:schemeClr w14:val="tx1"/>
            </w14:solidFill>
          </w14:textFill>
        </w:rPr>
        <w:t>进行</w:t>
      </w:r>
      <w:r>
        <w:rPr>
          <w:rFonts w:hint="eastAsia" w:ascii="宋体" w:hAnsi="宋体"/>
          <w:bCs/>
          <w:color w:val="000000" w:themeColor="text1"/>
          <w:szCs w:val="21"/>
          <w14:textFill>
            <w14:solidFill>
              <w14:schemeClr w14:val="tx1"/>
            </w14:solidFill>
          </w14:textFill>
        </w:rPr>
        <w:t>点对点逐条</w:t>
      </w:r>
      <w:r>
        <w:rPr>
          <w:rFonts w:ascii="宋体" w:hAnsi="宋体"/>
          <w:bCs/>
          <w:color w:val="000000" w:themeColor="text1"/>
          <w:szCs w:val="21"/>
          <w14:textFill>
            <w14:solidFill>
              <w14:schemeClr w14:val="tx1"/>
            </w14:solidFill>
          </w14:textFill>
        </w:rPr>
        <w:t>应答。</w:t>
      </w:r>
      <w:r>
        <w:rPr>
          <w:rFonts w:ascii="宋体" w:hAnsi="宋体"/>
          <w:bCs/>
          <w:szCs w:val="21"/>
        </w:rPr>
        <w:t>如有</w:t>
      </w:r>
      <w:r>
        <w:rPr>
          <w:rFonts w:hint="eastAsia" w:ascii="宋体" w:hAnsi="宋体"/>
          <w:bCs/>
          <w:szCs w:val="21"/>
        </w:rPr>
        <w:t>“</w:t>
      </w:r>
      <w:r>
        <w:rPr>
          <w:rFonts w:ascii="宋体" w:hAnsi="宋体"/>
          <w:bCs/>
          <w:szCs w:val="21"/>
        </w:rPr>
        <w:t>不满足</w:t>
      </w:r>
      <w:r>
        <w:rPr>
          <w:rFonts w:hint="eastAsia" w:ascii="宋体" w:hAnsi="宋体"/>
          <w:bCs/>
          <w:szCs w:val="21"/>
        </w:rPr>
        <w:t>”</w:t>
      </w:r>
      <w:r>
        <w:rPr>
          <w:rFonts w:ascii="宋体" w:hAnsi="宋体"/>
          <w:bCs/>
          <w:szCs w:val="21"/>
        </w:rPr>
        <w:t>、</w:t>
      </w:r>
      <w:r>
        <w:rPr>
          <w:rFonts w:hint="eastAsia" w:ascii="宋体" w:hAnsi="宋体"/>
          <w:bCs/>
          <w:szCs w:val="21"/>
        </w:rPr>
        <w:t>“</w:t>
      </w:r>
      <w:r>
        <w:rPr>
          <w:rFonts w:ascii="宋体" w:hAnsi="宋体"/>
          <w:bCs/>
          <w:szCs w:val="21"/>
        </w:rPr>
        <w:t>优于</w:t>
      </w:r>
      <w:r>
        <w:rPr>
          <w:rFonts w:hint="eastAsia" w:ascii="宋体" w:hAnsi="宋体"/>
          <w:bCs/>
          <w:szCs w:val="21"/>
        </w:rPr>
        <w:t>”</w:t>
      </w:r>
      <w:r>
        <w:rPr>
          <w:rFonts w:ascii="宋体" w:hAnsi="宋体"/>
          <w:bCs/>
          <w:szCs w:val="21"/>
        </w:rPr>
        <w:t>或</w:t>
      </w:r>
      <w:r>
        <w:rPr>
          <w:rFonts w:hint="eastAsia" w:ascii="宋体" w:hAnsi="宋体"/>
          <w:bCs/>
          <w:szCs w:val="21"/>
        </w:rPr>
        <w:t>“</w:t>
      </w:r>
      <w:r>
        <w:rPr>
          <w:rFonts w:ascii="宋体" w:hAnsi="宋体"/>
          <w:bCs/>
          <w:szCs w:val="21"/>
        </w:rPr>
        <w:t>部分满足（偏离）</w:t>
      </w:r>
      <w:r>
        <w:rPr>
          <w:rFonts w:hint="eastAsia" w:ascii="宋体" w:hAnsi="宋体"/>
          <w:bCs/>
          <w:szCs w:val="21"/>
        </w:rPr>
        <w:t>”</w:t>
      </w:r>
      <w:r>
        <w:rPr>
          <w:rFonts w:ascii="宋体" w:hAnsi="宋体"/>
          <w:bCs/>
          <w:szCs w:val="21"/>
        </w:rPr>
        <w:t>，请填写在</w:t>
      </w:r>
      <w:r>
        <w:rPr>
          <w:rFonts w:hint="eastAsia" w:ascii="宋体" w:hAnsi="宋体"/>
          <w:b/>
          <w:szCs w:val="21"/>
        </w:rPr>
        <w:t>商务</w:t>
      </w:r>
      <w:r>
        <w:rPr>
          <w:rFonts w:ascii="宋体" w:hAnsi="宋体"/>
          <w:b/>
          <w:szCs w:val="21"/>
        </w:rPr>
        <w:t>偏离表</w:t>
      </w:r>
      <w:r>
        <w:rPr>
          <w:rFonts w:ascii="宋体" w:hAnsi="宋体"/>
          <w:bCs/>
          <w:szCs w:val="21"/>
        </w:rPr>
        <w:t>（格式见</w:t>
      </w:r>
      <w:r>
        <w:rPr>
          <w:rFonts w:hint="eastAsia" w:ascii="宋体" w:hAnsi="宋体"/>
          <w:bCs/>
          <w:szCs w:val="21"/>
        </w:rPr>
        <w:t>第六章附件 应答文件格式</w:t>
      </w:r>
      <w:r>
        <w:rPr>
          <w:rFonts w:ascii="宋体" w:hAnsi="宋体"/>
          <w:bCs/>
          <w:szCs w:val="21"/>
        </w:rPr>
        <w:t>）。</w:t>
      </w:r>
      <w:r>
        <w:rPr>
          <w:rFonts w:hint="eastAsia" w:ascii="宋体" w:hAnsi="宋体"/>
          <w:bCs/>
          <w:szCs w:val="21"/>
        </w:rPr>
        <w:t>如供应商提交的《商务偏离表》未填写实质性内容，则视为已接受此章的所有要求。</w:t>
      </w:r>
    </w:p>
    <w:p w14:paraId="716EE524">
      <w:pPr>
        <w:widowControl/>
        <w:snapToGrid w:val="0"/>
        <w:spacing w:line="360" w:lineRule="auto"/>
        <w:jc w:val="left"/>
        <w:rPr>
          <w:rFonts w:ascii="宋体" w:hAnsi="宋体"/>
          <w:bCs/>
          <w:kern w:val="44"/>
          <w:szCs w:val="21"/>
        </w:rPr>
      </w:pPr>
      <w:bookmarkStart w:id="174" w:name="_Toc227057958"/>
      <w:bookmarkStart w:id="175" w:name="_Toc107822556"/>
      <w:bookmarkStart w:id="176" w:name="_Toc226969352"/>
      <w:r>
        <w:rPr>
          <w:rFonts w:ascii="宋体" w:hAnsi="宋体"/>
          <w:szCs w:val="21"/>
        </w:rPr>
        <w:br w:type="page"/>
      </w:r>
    </w:p>
    <w:p w14:paraId="2504E51E">
      <w:pPr>
        <w:pStyle w:val="6"/>
        <w:snapToGrid w:val="0"/>
        <w:spacing w:line="360" w:lineRule="auto"/>
        <w:rPr>
          <w:rFonts w:ascii="宋体" w:hAnsi="宋体" w:eastAsia="宋体"/>
          <w:b/>
          <w:sz w:val="21"/>
          <w:szCs w:val="21"/>
        </w:rPr>
      </w:pPr>
      <w:bookmarkStart w:id="177" w:name="_Toc105770531"/>
      <w:bookmarkStart w:id="178" w:name="_Toc12502"/>
      <w:r>
        <w:rPr>
          <w:rFonts w:hint="eastAsia" w:ascii="宋体" w:hAnsi="宋体" w:eastAsia="宋体"/>
          <w:b/>
          <w:sz w:val="21"/>
          <w:szCs w:val="21"/>
        </w:rPr>
        <w:t>技术规范书</w:t>
      </w:r>
      <w:bookmarkEnd w:id="177"/>
      <w:bookmarkEnd w:id="178"/>
    </w:p>
    <w:bookmarkEnd w:id="174"/>
    <w:bookmarkEnd w:id="175"/>
    <w:bookmarkEnd w:id="176"/>
    <w:p w14:paraId="5179A9A8">
      <w:pPr>
        <w:tabs>
          <w:tab w:val="left" w:pos="318"/>
        </w:tabs>
        <w:snapToGrid w:val="0"/>
        <w:spacing w:line="360" w:lineRule="auto"/>
        <w:ind w:firstLine="420" w:firstLineChars="200"/>
        <w:rPr>
          <w:rFonts w:ascii="宋体" w:hAnsi="宋体"/>
          <w:bCs/>
          <w:szCs w:val="21"/>
        </w:rPr>
      </w:pPr>
      <w:bookmarkStart w:id="179" w:name="_Toc227057962"/>
      <w:bookmarkStart w:id="180" w:name="_Toc226969356"/>
      <w:r>
        <w:rPr>
          <w:rFonts w:ascii="宋体" w:hAnsi="宋体"/>
          <w:bCs/>
          <w:szCs w:val="21"/>
        </w:rPr>
        <w:t>本章的条款具体见</w:t>
      </w:r>
      <w:r>
        <w:rPr>
          <w:rFonts w:hint="eastAsia" w:ascii="宋体" w:hAnsi="宋体"/>
          <w:bCs/>
          <w:szCs w:val="21"/>
        </w:rPr>
        <w:t>“第四章附件 技术规范书”。</w:t>
      </w:r>
      <w:r>
        <w:rPr>
          <w:rFonts w:hint="eastAsia" w:ascii="宋体" w:hAnsi="宋体"/>
          <w:szCs w:val="21"/>
        </w:rPr>
        <w:t>应答人</w:t>
      </w:r>
      <w:r>
        <w:rPr>
          <w:rFonts w:hint="eastAsia" w:ascii="宋体" w:hAnsi="宋体"/>
          <w:b/>
          <w:color w:val="000000" w:themeColor="text1"/>
          <w:szCs w:val="21"/>
          <w14:textFill>
            <w14:solidFill>
              <w14:schemeClr w14:val="tx1"/>
            </w14:solidFill>
          </w14:textFill>
        </w:rPr>
        <w:t>无须对招标文件“技术规范书”中的相关内容进行点对点逐条应答</w:t>
      </w:r>
      <w:r>
        <w:rPr>
          <w:rFonts w:hint="eastAsia" w:ascii="宋体" w:hAnsi="宋体"/>
          <w:color w:val="000000"/>
          <w:szCs w:val="21"/>
        </w:rPr>
        <w:t>，如果对技术规范书中的相关内容有“部分满足”或“不满足”的情况，必须在《技术偏离表》</w:t>
      </w:r>
      <w:r>
        <w:rPr>
          <w:rFonts w:ascii="宋体" w:hAnsi="宋体"/>
          <w:bCs/>
          <w:szCs w:val="21"/>
        </w:rPr>
        <w:t>（格式见</w:t>
      </w:r>
      <w:r>
        <w:rPr>
          <w:rFonts w:hint="eastAsia" w:ascii="宋体" w:hAnsi="宋体"/>
          <w:bCs/>
          <w:szCs w:val="21"/>
        </w:rPr>
        <w:t>第六章附件 应答文件格式</w:t>
      </w:r>
      <w:r>
        <w:rPr>
          <w:rFonts w:ascii="宋体" w:hAnsi="宋体"/>
          <w:bCs/>
          <w:szCs w:val="21"/>
        </w:rPr>
        <w:t>）</w:t>
      </w:r>
      <w:r>
        <w:rPr>
          <w:rFonts w:hint="eastAsia" w:ascii="宋体" w:hAnsi="宋体"/>
          <w:color w:val="000000"/>
          <w:szCs w:val="21"/>
        </w:rPr>
        <w:t>中逐一填写。</w:t>
      </w:r>
    </w:p>
    <w:p w14:paraId="72444064">
      <w:pPr>
        <w:tabs>
          <w:tab w:val="left" w:pos="318"/>
        </w:tabs>
        <w:snapToGrid w:val="0"/>
        <w:spacing w:line="360" w:lineRule="auto"/>
        <w:ind w:firstLine="420" w:firstLineChars="200"/>
        <w:rPr>
          <w:rFonts w:ascii="宋体" w:hAnsi="宋体"/>
          <w:bCs/>
          <w:szCs w:val="21"/>
        </w:rPr>
        <w:sectPr>
          <w:headerReference r:id="rId9" w:type="default"/>
          <w:footerReference r:id="rId10" w:type="default"/>
          <w:pgSz w:w="11906" w:h="16838"/>
          <w:pgMar w:top="1440" w:right="1701" w:bottom="1440" w:left="1701" w:header="851" w:footer="992" w:gutter="0"/>
          <w:cols w:space="425" w:num="1"/>
          <w:docGrid w:type="linesAndChars" w:linePitch="380" w:charSpace="0"/>
        </w:sectPr>
      </w:pPr>
      <w:r>
        <w:rPr>
          <w:rFonts w:hint="eastAsia" w:ascii="宋体" w:hAnsi="宋体"/>
          <w:szCs w:val="21"/>
        </w:rPr>
        <w:t>如应答人提供的点对点逐条应答文件（如有）与</w:t>
      </w:r>
      <w:r>
        <w:rPr>
          <w:rFonts w:hint="eastAsia" w:ascii="宋体" w:hAnsi="宋体"/>
          <w:b/>
          <w:szCs w:val="21"/>
        </w:rPr>
        <w:t>《技术偏离表》</w:t>
      </w:r>
      <w:r>
        <w:rPr>
          <w:rFonts w:hint="eastAsia" w:ascii="宋体" w:hAnsi="宋体"/>
          <w:szCs w:val="21"/>
        </w:rPr>
        <w:t>中的应答内容不一致，以</w:t>
      </w:r>
      <w:r>
        <w:rPr>
          <w:rFonts w:hint="eastAsia" w:ascii="宋体" w:hAnsi="宋体"/>
          <w:b/>
          <w:szCs w:val="21"/>
        </w:rPr>
        <w:t>《技术偏离表》</w:t>
      </w:r>
      <w:r>
        <w:rPr>
          <w:rFonts w:hint="eastAsia" w:ascii="宋体" w:hAnsi="宋体"/>
          <w:szCs w:val="21"/>
        </w:rPr>
        <w:t>中的内容为准。</w:t>
      </w:r>
      <w:r>
        <w:rPr>
          <w:rFonts w:ascii="宋体" w:hAnsi="宋体"/>
          <w:szCs w:val="21"/>
        </w:rPr>
        <w:br w:type="page"/>
      </w:r>
    </w:p>
    <w:p w14:paraId="1868F6E1">
      <w:pPr>
        <w:pStyle w:val="6"/>
        <w:snapToGrid w:val="0"/>
        <w:spacing w:line="360" w:lineRule="auto"/>
        <w:rPr>
          <w:rFonts w:ascii="宋体" w:hAnsi="宋体" w:eastAsia="宋体"/>
          <w:b/>
          <w:sz w:val="21"/>
          <w:szCs w:val="21"/>
        </w:rPr>
      </w:pPr>
      <w:bookmarkStart w:id="181" w:name="_Toc24608"/>
      <w:bookmarkStart w:id="182" w:name="_Toc105770532"/>
      <w:r>
        <w:rPr>
          <w:rFonts w:hint="eastAsia" w:ascii="宋体" w:hAnsi="宋体" w:eastAsia="宋体"/>
          <w:b/>
          <w:sz w:val="21"/>
          <w:szCs w:val="21"/>
        </w:rPr>
        <w:t>评审办法</w:t>
      </w:r>
      <w:bookmarkEnd w:id="179"/>
      <w:bookmarkEnd w:id="180"/>
      <w:bookmarkEnd w:id="181"/>
      <w:bookmarkEnd w:id="182"/>
    </w:p>
    <w:p w14:paraId="51E6EDA9">
      <w:pPr>
        <w:pStyle w:val="7"/>
        <w:numPr>
          <w:ilvl w:val="0"/>
          <w:numId w:val="0"/>
        </w:numPr>
        <w:snapToGrid w:val="0"/>
        <w:spacing w:line="360" w:lineRule="auto"/>
        <w:rPr>
          <w:rFonts w:ascii="宋体" w:hAnsi="宋体" w:eastAsia="宋体"/>
          <w:b/>
          <w:sz w:val="21"/>
          <w:szCs w:val="21"/>
        </w:rPr>
      </w:pPr>
      <w:bookmarkStart w:id="183" w:name="_Toc456551349"/>
      <w:bookmarkStart w:id="184" w:name="_Toc105770533"/>
      <w:bookmarkStart w:id="185" w:name="_Toc472688547"/>
      <w:bookmarkStart w:id="186" w:name="_Toc22590"/>
      <w:r>
        <w:rPr>
          <w:rFonts w:hint="eastAsia" w:ascii="宋体" w:hAnsi="宋体" w:eastAsia="宋体"/>
          <w:b/>
          <w:sz w:val="21"/>
          <w:szCs w:val="21"/>
        </w:rPr>
        <w:t>评审办法前附表</w:t>
      </w:r>
      <w:bookmarkEnd w:id="183"/>
      <w:bookmarkEnd w:id="184"/>
      <w:bookmarkEnd w:id="185"/>
      <w:bookmarkEnd w:id="186"/>
    </w:p>
    <w:p w14:paraId="61701563">
      <w:pPr>
        <w:snapToGrid w:val="0"/>
        <w:spacing w:line="360" w:lineRule="auto"/>
        <w:ind w:firstLine="424" w:firstLineChars="202"/>
      </w:pPr>
      <w:r>
        <w:rPr>
          <w:rFonts w:hint="eastAsia" w:ascii="宋体" w:hAnsi="宋体"/>
          <w:szCs w:val="21"/>
        </w:rPr>
        <w:t>本表关于评审办法的具体补充和修改，如有矛盾，以此评审办法前附表为准。</w:t>
      </w:r>
    </w:p>
    <w:tbl>
      <w:tblPr>
        <w:tblStyle w:val="40"/>
        <w:tblW w:w="56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59"/>
        <w:gridCol w:w="722"/>
        <w:gridCol w:w="346"/>
        <w:gridCol w:w="897"/>
        <w:gridCol w:w="1268"/>
        <w:gridCol w:w="169"/>
        <w:gridCol w:w="4293"/>
        <w:gridCol w:w="907"/>
      </w:tblGrid>
      <w:tr w14:paraId="7E2A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78" w:type="pct"/>
            <w:gridSpan w:val="4"/>
            <w:shd w:val="clear" w:color="auto" w:fill="auto"/>
            <w:vAlign w:val="center"/>
          </w:tcPr>
          <w:p w14:paraId="42CC3472">
            <w:pPr>
              <w:widowControl/>
              <w:adjustRightInd w:val="0"/>
              <w:snapToGrid w:val="0"/>
              <w:spacing w:line="360" w:lineRule="auto"/>
              <w:jc w:val="center"/>
              <w:rPr>
                <w:rFonts w:ascii="宋体" w:hAnsi="宋体" w:cs="宋体"/>
                <w:b/>
                <w:bCs/>
                <w:kern w:val="0"/>
                <w:sz w:val="20"/>
                <w:szCs w:val="20"/>
              </w:rPr>
            </w:pPr>
            <w:r>
              <w:rPr>
                <w:rFonts w:hint="eastAsia" w:ascii="宋体" w:hAnsi="宋体" w:cs="宋体"/>
                <w:b/>
                <w:bCs/>
                <w:kern w:val="0"/>
                <w:sz w:val="20"/>
                <w:szCs w:val="20"/>
              </w:rPr>
              <w:t>条款</w:t>
            </w:r>
          </w:p>
        </w:tc>
        <w:tc>
          <w:tcPr>
            <w:tcW w:w="1215" w:type="pct"/>
            <w:gridSpan w:val="3"/>
            <w:shd w:val="clear" w:color="auto" w:fill="auto"/>
            <w:vAlign w:val="center"/>
          </w:tcPr>
          <w:p w14:paraId="6BD5178C">
            <w:pPr>
              <w:widowControl/>
              <w:adjustRightInd w:val="0"/>
              <w:snapToGrid w:val="0"/>
              <w:spacing w:line="360" w:lineRule="auto"/>
              <w:jc w:val="center"/>
              <w:rPr>
                <w:rFonts w:ascii="宋体" w:hAnsi="宋体" w:cs="宋体"/>
                <w:b/>
                <w:bCs/>
                <w:kern w:val="0"/>
                <w:sz w:val="20"/>
                <w:szCs w:val="20"/>
              </w:rPr>
            </w:pPr>
            <w:r>
              <w:rPr>
                <w:rFonts w:hint="eastAsia" w:ascii="宋体" w:hAnsi="宋体" w:cs="宋体"/>
                <w:b/>
                <w:bCs/>
                <w:kern w:val="0"/>
                <w:sz w:val="20"/>
                <w:szCs w:val="20"/>
              </w:rPr>
              <w:t>评审因素</w:t>
            </w:r>
          </w:p>
        </w:tc>
        <w:tc>
          <w:tcPr>
            <w:tcW w:w="2705" w:type="pct"/>
            <w:gridSpan w:val="2"/>
            <w:shd w:val="clear" w:color="auto" w:fill="auto"/>
            <w:vAlign w:val="center"/>
          </w:tcPr>
          <w:p w14:paraId="77E9FB46">
            <w:pPr>
              <w:widowControl/>
              <w:adjustRightInd w:val="0"/>
              <w:snapToGrid w:val="0"/>
              <w:spacing w:line="360" w:lineRule="auto"/>
              <w:jc w:val="center"/>
              <w:rPr>
                <w:rFonts w:ascii="宋体" w:hAnsi="宋体" w:cs="宋体"/>
                <w:b/>
                <w:bCs/>
                <w:kern w:val="0"/>
                <w:sz w:val="20"/>
                <w:szCs w:val="20"/>
              </w:rPr>
            </w:pPr>
            <w:r>
              <w:rPr>
                <w:rFonts w:hint="eastAsia" w:ascii="宋体" w:hAnsi="宋体" w:cs="宋体"/>
                <w:b/>
                <w:bCs/>
                <w:kern w:val="0"/>
                <w:sz w:val="20"/>
                <w:szCs w:val="20"/>
              </w:rPr>
              <w:t>评审标准</w:t>
            </w:r>
          </w:p>
        </w:tc>
      </w:tr>
      <w:tr w14:paraId="02D8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restart"/>
            <w:shd w:val="clear" w:color="auto" w:fill="auto"/>
            <w:vAlign w:val="center"/>
          </w:tcPr>
          <w:p w14:paraId="7ADF6328">
            <w:pPr>
              <w:widowControl/>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5.2.1</w:t>
            </w:r>
          </w:p>
        </w:tc>
        <w:tc>
          <w:tcPr>
            <w:tcW w:w="555" w:type="pct"/>
            <w:gridSpan w:val="2"/>
            <w:vMerge w:val="restart"/>
            <w:shd w:val="clear" w:color="auto" w:fill="auto"/>
            <w:vAlign w:val="center"/>
          </w:tcPr>
          <w:p w14:paraId="403319F8">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初步评审</w:t>
            </w:r>
          </w:p>
        </w:tc>
        <w:tc>
          <w:tcPr>
            <w:tcW w:w="2334" w:type="dxa"/>
            <w:gridSpan w:val="3"/>
            <w:shd w:val="clear" w:color="auto" w:fill="auto"/>
            <w:vAlign w:val="center"/>
          </w:tcPr>
          <w:p w14:paraId="5867304A">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应答人名称</w:t>
            </w:r>
          </w:p>
        </w:tc>
        <w:tc>
          <w:tcPr>
            <w:tcW w:w="5200" w:type="dxa"/>
            <w:gridSpan w:val="2"/>
            <w:shd w:val="clear" w:color="auto" w:fill="auto"/>
            <w:vAlign w:val="center"/>
          </w:tcPr>
          <w:p w14:paraId="2BF13219">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是否与营业执照、税务登记证、法定代表人授权委托书等各项材料上的名称一致</w:t>
            </w:r>
          </w:p>
        </w:tc>
      </w:tr>
      <w:tr w14:paraId="2D79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0454ED24">
            <w:pPr>
              <w:widowControl/>
              <w:adjustRightInd w:val="0"/>
              <w:snapToGrid w:val="0"/>
              <w:spacing w:line="360" w:lineRule="auto"/>
              <w:jc w:val="left"/>
              <w:rPr>
                <w:rFonts w:ascii="宋体" w:hAnsi="宋体" w:cs="宋体"/>
                <w:bCs/>
                <w:kern w:val="0"/>
                <w:sz w:val="20"/>
                <w:szCs w:val="20"/>
              </w:rPr>
            </w:pPr>
          </w:p>
        </w:tc>
        <w:tc>
          <w:tcPr>
            <w:tcW w:w="555" w:type="pct"/>
            <w:gridSpan w:val="2"/>
            <w:vMerge w:val="continue"/>
            <w:shd w:val="clear" w:color="auto" w:fill="auto"/>
            <w:vAlign w:val="center"/>
          </w:tcPr>
          <w:p w14:paraId="3AD5B7C6">
            <w:pPr>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4282B2FF">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应答人资格审查</w:t>
            </w:r>
          </w:p>
        </w:tc>
        <w:tc>
          <w:tcPr>
            <w:tcW w:w="5200" w:type="dxa"/>
            <w:gridSpan w:val="2"/>
            <w:shd w:val="clear" w:color="auto" w:fill="auto"/>
            <w:vAlign w:val="center"/>
          </w:tcPr>
          <w:p w14:paraId="5EC8E22B">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是否符合招标公告、招标文件中资格要求</w:t>
            </w:r>
          </w:p>
        </w:tc>
      </w:tr>
      <w:tr w14:paraId="11DA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6FD4EBA7">
            <w:pPr>
              <w:widowControl/>
              <w:adjustRightInd w:val="0"/>
              <w:snapToGrid w:val="0"/>
              <w:spacing w:line="360" w:lineRule="auto"/>
              <w:jc w:val="left"/>
              <w:rPr>
                <w:rFonts w:ascii="宋体" w:hAnsi="宋体" w:cs="宋体"/>
                <w:bCs/>
                <w:kern w:val="0"/>
                <w:sz w:val="20"/>
                <w:szCs w:val="20"/>
              </w:rPr>
            </w:pPr>
          </w:p>
        </w:tc>
        <w:tc>
          <w:tcPr>
            <w:tcW w:w="555" w:type="pct"/>
            <w:gridSpan w:val="2"/>
            <w:vMerge w:val="continue"/>
            <w:shd w:val="clear" w:color="auto" w:fill="auto"/>
            <w:vAlign w:val="center"/>
          </w:tcPr>
          <w:p w14:paraId="43E11A29">
            <w:pPr>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7E531D16">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法定代表人身份证明及</w:t>
            </w:r>
          </w:p>
          <w:p w14:paraId="104F5D47">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法定代表人授权委托书</w:t>
            </w:r>
          </w:p>
        </w:tc>
        <w:tc>
          <w:tcPr>
            <w:tcW w:w="5200" w:type="dxa"/>
            <w:gridSpan w:val="2"/>
            <w:shd w:val="clear" w:color="auto" w:fill="auto"/>
            <w:vAlign w:val="center"/>
          </w:tcPr>
          <w:p w14:paraId="040C1BB0">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是否符合 “应答文件格式”要求</w:t>
            </w:r>
          </w:p>
        </w:tc>
      </w:tr>
      <w:tr w14:paraId="1DB0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667314D4">
            <w:pPr>
              <w:widowControl/>
              <w:adjustRightInd w:val="0"/>
              <w:snapToGrid w:val="0"/>
              <w:spacing w:line="360" w:lineRule="auto"/>
              <w:jc w:val="left"/>
              <w:rPr>
                <w:rFonts w:ascii="宋体" w:hAnsi="宋体" w:cs="宋体"/>
                <w:bCs/>
                <w:kern w:val="0"/>
                <w:sz w:val="20"/>
                <w:szCs w:val="20"/>
              </w:rPr>
            </w:pPr>
          </w:p>
        </w:tc>
        <w:tc>
          <w:tcPr>
            <w:tcW w:w="555" w:type="pct"/>
            <w:gridSpan w:val="2"/>
            <w:vMerge w:val="continue"/>
            <w:shd w:val="clear" w:color="auto" w:fill="auto"/>
            <w:vAlign w:val="center"/>
          </w:tcPr>
          <w:p w14:paraId="39209201">
            <w:pPr>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50B83928">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应答有效期</w:t>
            </w:r>
          </w:p>
        </w:tc>
        <w:tc>
          <w:tcPr>
            <w:tcW w:w="5200" w:type="dxa"/>
            <w:gridSpan w:val="2"/>
            <w:shd w:val="clear" w:color="auto" w:fill="auto"/>
            <w:vAlign w:val="center"/>
          </w:tcPr>
          <w:p w14:paraId="2AF0EF7C">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应答有效期是否满足要求</w:t>
            </w:r>
          </w:p>
        </w:tc>
      </w:tr>
      <w:tr w14:paraId="03A2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7F8A0DAB">
            <w:pPr>
              <w:widowControl/>
              <w:adjustRightInd w:val="0"/>
              <w:snapToGrid w:val="0"/>
              <w:spacing w:line="360" w:lineRule="auto"/>
              <w:jc w:val="left"/>
              <w:rPr>
                <w:rFonts w:ascii="宋体" w:hAnsi="宋体" w:cs="宋体"/>
                <w:bCs/>
                <w:kern w:val="0"/>
                <w:sz w:val="20"/>
                <w:szCs w:val="20"/>
              </w:rPr>
            </w:pPr>
          </w:p>
        </w:tc>
        <w:tc>
          <w:tcPr>
            <w:tcW w:w="555" w:type="pct"/>
            <w:gridSpan w:val="2"/>
            <w:vMerge w:val="continue"/>
            <w:shd w:val="clear" w:color="auto" w:fill="auto"/>
            <w:vAlign w:val="center"/>
          </w:tcPr>
          <w:p w14:paraId="30B87698">
            <w:pPr>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045F33EE">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报价唯一</w:t>
            </w:r>
          </w:p>
        </w:tc>
        <w:tc>
          <w:tcPr>
            <w:tcW w:w="5200" w:type="dxa"/>
            <w:gridSpan w:val="2"/>
            <w:shd w:val="clear" w:color="auto" w:fill="auto"/>
            <w:vAlign w:val="center"/>
          </w:tcPr>
          <w:p w14:paraId="6693A17C">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是否有一个有效报价</w:t>
            </w:r>
          </w:p>
        </w:tc>
      </w:tr>
      <w:tr w14:paraId="27D41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0AB8C085">
            <w:pPr>
              <w:widowControl/>
              <w:adjustRightInd w:val="0"/>
              <w:snapToGrid w:val="0"/>
              <w:spacing w:line="360" w:lineRule="auto"/>
              <w:jc w:val="left"/>
              <w:rPr>
                <w:rFonts w:ascii="宋体" w:hAnsi="宋体" w:cs="宋体"/>
                <w:bCs/>
                <w:kern w:val="0"/>
                <w:sz w:val="20"/>
                <w:szCs w:val="20"/>
              </w:rPr>
            </w:pPr>
          </w:p>
        </w:tc>
        <w:tc>
          <w:tcPr>
            <w:tcW w:w="555" w:type="pct"/>
            <w:gridSpan w:val="2"/>
            <w:vMerge w:val="continue"/>
            <w:shd w:val="clear" w:color="auto" w:fill="auto"/>
            <w:vAlign w:val="center"/>
          </w:tcPr>
          <w:p w14:paraId="070A7CCD">
            <w:pPr>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79DEBABB">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上传的电子应答文件及签署和盖章</w:t>
            </w:r>
          </w:p>
        </w:tc>
        <w:tc>
          <w:tcPr>
            <w:tcW w:w="5200" w:type="dxa"/>
            <w:gridSpan w:val="2"/>
            <w:shd w:val="clear" w:color="auto" w:fill="auto"/>
            <w:vAlign w:val="center"/>
          </w:tcPr>
          <w:p w14:paraId="2D5A96AB">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是否符合 “应答人须知”规定和其他有关盖章签署要求</w:t>
            </w:r>
          </w:p>
        </w:tc>
      </w:tr>
      <w:tr w14:paraId="239E8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2" w:type="pct"/>
            <w:gridSpan w:val="2"/>
            <w:vMerge w:val="continue"/>
            <w:shd w:val="clear" w:color="auto" w:fill="auto"/>
            <w:vAlign w:val="center"/>
          </w:tcPr>
          <w:p w14:paraId="43080C8D">
            <w:pPr>
              <w:widowControl/>
              <w:adjustRightInd w:val="0"/>
              <w:snapToGrid w:val="0"/>
              <w:spacing w:line="360" w:lineRule="auto"/>
              <w:jc w:val="center"/>
              <w:rPr>
                <w:rFonts w:ascii="宋体" w:hAnsi="宋体" w:cs="宋体"/>
                <w:bCs/>
                <w:kern w:val="0"/>
                <w:sz w:val="20"/>
                <w:szCs w:val="20"/>
              </w:rPr>
            </w:pPr>
          </w:p>
        </w:tc>
        <w:tc>
          <w:tcPr>
            <w:tcW w:w="555" w:type="pct"/>
            <w:gridSpan w:val="2"/>
            <w:vMerge w:val="continue"/>
            <w:shd w:val="clear" w:color="auto" w:fill="auto"/>
            <w:vAlign w:val="center"/>
          </w:tcPr>
          <w:p w14:paraId="6F3E39AC">
            <w:pPr>
              <w:widowControl/>
              <w:adjustRightInd w:val="0"/>
              <w:snapToGrid w:val="0"/>
              <w:spacing w:line="360" w:lineRule="auto"/>
              <w:jc w:val="center"/>
              <w:rPr>
                <w:rFonts w:ascii="宋体" w:hAnsi="宋体" w:cs="宋体"/>
                <w:bCs/>
                <w:kern w:val="0"/>
                <w:sz w:val="20"/>
                <w:szCs w:val="20"/>
              </w:rPr>
            </w:pPr>
          </w:p>
        </w:tc>
        <w:tc>
          <w:tcPr>
            <w:tcW w:w="2334" w:type="dxa"/>
            <w:gridSpan w:val="3"/>
            <w:shd w:val="clear" w:color="auto" w:fill="auto"/>
            <w:vAlign w:val="center"/>
          </w:tcPr>
          <w:p w14:paraId="5EE7542C">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招标文件实质性内容的响应</w:t>
            </w:r>
          </w:p>
        </w:tc>
        <w:tc>
          <w:tcPr>
            <w:tcW w:w="5200" w:type="dxa"/>
            <w:gridSpan w:val="2"/>
            <w:shd w:val="clear" w:color="auto" w:fill="auto"/>
            <w:vAlign w:val="center"/>
          </w:tcPr>
          <w:p w14:paraId="05DE9F9C">
            <w:pPr>
              <w:adjustRightInd w:val="0"/>
              <w:snapToGrid w:val="0"/>
              <w:spacing w:line="360" w:lineRule="auto"/>
              <w:jc w:val="center"/>
              <w:rPr>
                <w:rFonts w:ascii="宋体" w:hAnsi="宋体" w:cs="宋体"/>
                <w:bCs/>
                <w:kern w:val="0"/>
                <w:sz w:val="20"/>
                <w:szCs w:val="20"/>
              </w:rPr>
            </w:pPr>
            <w:r>
              <w:rPr>
                <w:rFonts w:hint="eastAsia" w:ascii="宋体" w:hAnsi="宋体" w:cs="宋体"/>
                <w:bCs/>
                <w:kern w:val="0"/>
                <w:sz w:val="20"/>
                <w:szCs w:val="20"/>
              </w:rPr>
              <w:t>是否满足招标文件的实质性响应条款（实质性应答条款为带*号的条款及其他标明为实质性应答的条款）</w:t>
            </w:r>
          </w:p>
        </w:tc>
      </w:tr>
      <w:tr w14:paraId="0AED0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000" w:type="pct"/>
            <w:gridSpan w:val="9"/>
            <w:shd w:val="clear" w:color="auto" w:fill="auto"/>
            <w:vAlign w:val="center"/>
          </w:tcPr>
          <w:p w14:paraId="0E7E1D59">
            <w:pPr>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备注：</w:t>
            </w:r>
          </w:p>
          <w:p w14:paraId="77878382">
            <w:pPr>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 xml:space="preserve">一、递交的应答文件，其图片应是原件扫描件且字迹清晰可见。                                                                                                                                                                                                                                                                                                                                                                                                                                                                                                                                                                                                                                                                                                                                                                                                                                                                                                                                                                                                                                                                                                                                                                                                                                                                                                                                                                                                                                                                                                                                                                                                                                                                                                                                                                                                                                                                                                                                                                                                                                                                                                                                                                                                                                                                                                                                                                                                                                                                                                                                                                                                                                                                                                                                                                                                                                                                                                                                                                                                                                                                                                                                                                                                                                                                                                                                                                                                                                                                                                                                                                                                                                                                                                                                                                                                                                                                                                                                                                                                                                                                                                                                                                                    </w:t>
            </w:r>
            <w:r>
              <w:rPr>
                <w:rFonts w:hint="eastAsia" w:ascii="宋体" w:hAnsi="宋体" w:cs="宋体"/>
                <w:kern w:val="0"/>
                <w:sz w:val="20"/>
                <w:szCs w:val="20"/>
              </w:rPr>
              <w:t xml:space="preserve">                                                                                                                                                                                                                                                                                                                                                                                                                                                                                                                                                                                                                                                                                                                                                                                                                                                                                                                                                                                                                                                                                                                                                                                                                                                                                                                                                                                                                                                                                                                                                                                                                                                                                                                                                                                                                                                                                                                                                                                                                                                                                                                                                                                                                                                                                                                                                                                                                                                                                                                    </w:t>
            </w:r>
          </w:p>
          <w:p w14:paraId="18EEFB2A">
            <w:pPr>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评审委员会在评审时，对应答供应商提供的证明或证件有疑问的，可以要求应答供应商在规定时限内（一般不超过48小时）提交有关证明和证件的原件，以便核验。未按照上述要求提交原件的，其供应商应答将被否决。</w:t>
            </w:r>
          </w:p>
          <w:p w14:paraId="0F6A56B2">
            <w:pPr>
              <w:widowControl/>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二、竞争性招标采用综合评审方式，有效应答人应满足≥3家的要求。对于有效应答人少于3家的情况，按以下方式处理，并在结果决策时说明过程情况：</w:t>
            </w:r>
          </w:p>
          <w:p w14:paraId="0530A0D7">
            <w:pPr>
              <w:widowControl/>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1、因资质条件设置不合理、招标文件发送方式不合理、预留的应答文件递交时间不合理等因素造成有效应答人不足的，应采取相应措施修正相关问题后重新启动招标流程。</w:t>
            </w:r>
          </w:p>
          <w:p w14:paraId="5C375888">
            <w:pPr>
              <w:widowControl/>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2、当有效应答人或通过初评的应答人仅有2家时，若招标评审小组认定项目仍具备竞争性，可继续进行招标。如通过初评的应答人仅有1家时，若招标评审小组认定商务及技术方案满足要求，可与其进行定向谈判，否则应重新组织招标。</w:t>
            </w:r>
          </w:p>
          <w:p w14:paraId="5EF28B18">
            <w:pPr>
              <w:widowControl/>
              <w:adjustRightInd w:val="0"/>
              <w:snapToGrid w:val="0"/>
              <w:spacing w:line="360" w:lineRule="auto"/>
              <w:jc w:val="left"/>
              <w:rPr>
                <w:rFonts w:ascii="宋体" w:hAnsi="宋体" w:cs="宋体"/>
                <w:kern w:val="0"/>
                <w:sz w:val="20"/>
                <w:szCs w:val="20"/>
              </w:rPr>
            </w:pPr>
            <w:r>
              <w:rPr>
                <w:rFonts w:hint="eastAsia" w:ascii="宋体" w:hAnsi="宋体" w:cs="宋体"/>
                <w:kern w:val="0"/>
                <w:sz w:val="20"/>
                <w:szCs w:val="20"/>
              </w:rPr>
              <w:t>3、若在规定时间内只有1家应答人，应重新启动招标程序。如重新启动后仍只有1家，且商务及技术方案满足要求，可与应答人进行谈判。</w:t>
            </w:r>
          </w:p>
          <w:p w14:paraId="4DC2A35C">
            <w:pPr>
              <w:widowControl/>
              <w:adjustRightInd w:val="0"/>
              <w:snapToGrid w:val="0"/>
              <w:spacing w:line="360" w:lineRule="auto"/>
              <w:jc w:val="left"/>
              <w:rPr>
                <w:rFonts w:ascii="宋体" w:hAnsi="宋体" w:cs="宋体"/>
                <w:kern w:val="24"/>
                <w:sz w:val="20"/>
                <w:szCs w:val="20"/>
              </w:rPr>
            </w:pPr>
            <w:r>
              <w:rPr>
                <w:rFonts w:hint="eastAsia" w:ascii="宋体" w:hAnsi="宋体" w:cs="宋体"/>
                <w:sz w:val="20"/>
                <w:szCs w:val="20"/>
              </w:rPr>
              <w:t>三、评审委员会首先对供应商的应答文件进行初步评审，若出现不符合上述初步评审情况之一的均不能通过初步评审。</w:t>
            </w:r>
          </w:p>
        </w:tc>
      </w:tr>
      <w:tr w14:paraId="5E641A2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898" w:type="pct"/>
            <w:gridSpan w:val="3"/>
            <w:tcBorders>
              <w:top w:val="single" w:color="auto" w:sz="6" w:space="0"/>
              <w:left w:val="single" w:color="auto" w:sz="6" w:space="0"/>
              <w:bottom w:val="single" w:color="auto" w:sz="4" w:space="0"/>
              <w:right w:val="single" w:color="auto" w:sz="4" w:space="0"/>
            </w:tcBorders>
            <w:shd w:val="clear" w:color="auto" w:fill="auto"/>
            <w:vAlign w:val="center"/>
          </w:tcPr>
          <w:p w14:paraId="1F66A539">
            <w:pPr>
              <w:adjustRightInd w:val="0"/>
              <w:snapToGrid w:val="0"/>
              <w:spacing w:line="360" w:lineRule="auto"/>
              <w:jc w:val="center"/>
              <w:rPr>
                <w:rFonts w:ascii="宋体" w:hAnsi="宋体" w:cs="宋体"/>
                <w:b/>
                <w:kern w:val="0"/>
                <w:sz w:val="20"/>
                <w:szCs w:val="20"/>
              </w:rPr>
            </w:pPr>
            <w:r>
              <w:rPr>
                <w:rFonts w:hint="eastAsia" w:ascii="宋体" w:hAnsi="宋体" w:cs="宋体"/>
                <w:b/>
                <w:kern w:val="0"/>
                <w:sz w:val="20"/>
                <w:szCs w:val="20"/>
              </w:rPr>
              <w:t>条款号</w:t>
            </w:r>
          </w:p>
        </w:tc>
        <w:tc>
          <w:tcPr>
            <w:tcW w:w="647" w:type="pct"/>
            <w:gridSpan w:val="2"/>
            <w:tcBorders>
              <w:top w:val="single" w:color="auto" w:sz="6" w:space="0"/>
              <w:left w:val="single" w:color="auto" w:sz="4" w:space="0"/>
              <w:bottom w:val="single" w:color="auto" w:sz="4" w:space="0"/>
              <w:right w:val="single" w:color="auto" w:sz="4" w:space="0"/>
            </w:tcBorders>
            <w:shd w:val="clear" w:color="auto" w:fill="auto"/>
            <w:vAlign w:val="center"/>
          </w:tcPr>
          <w:p w14:paraId="3415FC04">
            <w:pPr>
              <w:adjustRightInd w:val="0"/>
              <w:snapToGrid w:val="0"/>
              <w:spacing w:line="360" w:lineRule="auto"/>
              <w:jc w:val="center"/>
              <w:rPr>
                <w:rFonts w:ascii="宋体" w:hAnsi="宋体" w:cs="宋体"/>
                <w:kern w:val="0"/>
                <w:sz w:val="20"/>
                <w:szCs w:val="20"/>
              </w:rPr>
            </w:pPr>
            <w:r>
              <w:rPr>
                <w:rFonts w:hint="eastAsia" w:ascii="宋体" w:hAnsi="宋体" w:cs="宋体"/>
                <w:kern w:val="24"/>
                <w:sz w:val="20"/>
                <w:szCs w:val="20"/>
              </w:rPr>
              <w:t>指标</w:t>
            </w:r>
          </w:p>
        </w:tc>
        <w:tc>
          <w:tcPr>
            <w:tcW w:w="660" w:type="pct"/>
            <w:tcBorders>
              <w:top w:val="single" w:color="auto" w:sz="6" w:space="0"/>
              <w:left w:val="single" w:color="auto" w:sz="4" w:space="0"/>
              <w:bottom w:val="single" w:color="auto" w:sz="4" w:space="0"/>
              <w:right w:val="single" w:color="auto" w:sz="4" w:space="0"/>
            </w:tcBorders>
            <w:shd w:val="clear" w:color="auto" w:fill="auto"/>
            <w:vAlign w:val="center"/>
          </w:tcPr>
          <w:p w14:paraId="6C9F98EE">
            <w:pPr>
              <w:adjustRightInd w:val="0"/>
              <w:snapToGrid w:val="0"/>
              <w:spacing w:line="360" w:lineRule="auto"/>
              <w:jc w:val="center"/>
              <w:rPr>
                <w:rFonts w:ascii="宋体" w:hAnsi="宋体" w:cs="宋体"/>
                <w:kern w:val="0"/>
                <w:sz w:val="20"/>
                <w:szCs w:val="20"/>
              </w:rPr>
            </w:pPr>
            <w:r>
              <w:rPr>
                <w:rFonts w:hint="eastAsia" w:ascii="宋体" w:hAnsi="宋体" w:cs="宋体"/>
                <w:kern w:val="24"/>
                <w:sz w:val="20"/>
                <w:szCs w:val="20"/>
              </w:rPr>
              <w:t>条目</w:t>
            </w:r>
          </w:p>
        </w:tc>
        <w:tc>
          <w:tcPr>
            <w:tcW w:w="2323" w:type="pct"/>
            <w:gridSpan w:val="2"/>
            <w:tcBorders>
              <w:top w:val="single" w:color="auto" w:sz="6" w:space="0"/>
              <w:left w:val="single" w:color="auto" w:sz="4" w:space="0"/>
              <w:bottom w:val="single" w:color="auto" w:sz="4" w:space="0"/>
              <w:right w:val="single" w:color="auto" w:sz="4" w:space="0"/>
            </w:tcBorders>
            <w:shd w:val="clear" w:color="auto" w:fill="auto"/>
            <w:vAlign w:val="center"/>
          </w:tcPr>
          <w:p w14:paraId="2E964712">
            <w:pPr>
              <w:adjustRightInd w:val="0"/>
              <w:snapToGrid w:val="0"/>
              <w:spacing w:line="360" w:lineRule="auto"/>
              <w:jc w:val="center"/>
              <w:rPr>
                <w:rFonts w:ascii="宋体" w:hAnsi="宋体" w:cs="宋体"/>
                <w:b/>
                <w:kern w:val="0"/>
                <w:sz w:val="20"/>
                <w:szCs w:val="20"/>
              </w:rPr>
            </w:pPr>
            <w:r>
              <w:rPr>
                <w:rFonts w:hint="eastAsia" w:ascii="宋体" w:hAnsi="宋体" w:cs="宋体"/>
                <w:kern w:val="24"/>
                <w:sz w:val="20"/>
                <w:szCs w:val="20"/>
              </w:rPr>
              <w:t>说明</w:t>
            </w:r>
          </w:p>
        </w:tc>
        <w:tc>
          <w:tcPr>
            <w:tcW w:w="470" w:type="pct"/>
            <w:tcBorders>
              <w:top w:val="single" w:color="auto" w:sz="6" w:space="0"/>
              <w:left w:val="single" w:color="auto" w:sz="4" w:space="0"/>
              <w:bottom w:val="single" w:color="auto" w:sz="4" w:space="0"/>
              <w:right w:val="single" w:color="auto" w:sz="6" w:space="0"/>
            </w:tcBorders>
            <w:shd w:val="clear" w:color="auto" w:fill="auto"/>
            <w:vAlign w:val="center"/>
          </w:tcPr>
          <w:p w14:paraId="4DA14F54">
            <w:pPr>
              <w:adjustRightInd w:val="0"/>
              <w:snapToGrid w:val="0"/>
              <w:spacing w:line="360" w:lineRule="auto"/>
              <w:jc w:val="center"/>
              <w:rPr>
                <w:rFonts w:ascii="宋体" w:hAnsi="宋体" w:cs="宋体"/>
                <w:b/>
                <w:kern w:val="0"/>
                <w:sz w:val="20"/>
                <w:szCs w:val="20"/>
              </w:rPr>
            </w:pPr>
            <w:r>
              <w:rPr>
                <w:rFonts w:hint="eastAsia" w:ascii="宋体" w:hAnsi="宋体" w:cs="宋体"/>
                <w:kern w:val="24"/>
                <w:sz w:val="20"/>
                <w:szCs w:val="20"/>
              </w:rPr>
              <w:t>满分值</w:t>
            </w:r>
          </w:p>
        </w:tc>
      </w:tr>
      <w:tr w14:paraId="6CA4CCD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restart"/>
            <w:tcBorders>
              <w:top w:val="single" w:color="auto" w:sz="4" w:space="0"/>
              <w:left w:val="single" w:color="auto" w:sz="6" w:space="0"/>
              <w:bottom w:val="single" w:color="auto" w:sz="4" w:space="0"/>
              <w:right w:val="single" w:color="auto" w:sz="4" w:space="0"/>
            </w:tcBorders>
            <w:shd w:val="clear" w:color="auto" w:fill="auto"/>
            <w:vAlign w:val="center"/>
          </w:tcPr>
          <w:p w14:paraId="44644517">
            <w:pPr>
              <w:adjustRightInd w:val="0"/>
              <w:snapToGrid w:val="0"/>
              <w:spacing w:line="360" w:lineRule="auto"/>
              <w:jc w:val="center"/>
              <w:rPr>
                <w:rFonts w:ascii="宋体" w:hAnsi="宋体" w:cs="宋体"/>
                <w:sz w:val="20"/>
                <w:szCs w:val="20"/>
              </w:rPr>
            </w:pPr>
            <w:r>
              <w:rPr>
                <w:rFonts w:hint="eastAsia" w:ascii="宋体" w:hAnsi="宋体" w:cs="宋体"/>
                <w:sz w:val="20"/>
                <w:szCs w:val="20"/>
              </w:rPr>
              <w:t>5.2.2</w:t>
            </w:r>
          </w:p>
        </w:tc>
        <w:tc>
          <w:tcPr>
            <w:tcW w:w="40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05BD08">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详细</w:t>
            </w:r>
          </w:p>
          <w:p w14:paraId="3EFB2288">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评审</w:t>
            </w:r>
          </w:p>
          <w:p w14:paraId="78C0E443">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标准</w:t>
            </w:r>
          </w:p>
        </w:tc>
        <w:tc>
          <w:tcPr>
            <w:tcW w:w="1243" w:type="dxa"/>
            <w:gridSpan w:val="2"/>
            <w:vMerge w:val="restart"/>
            <w:tcBorders>
              <w:top w:val="single" w:color="auto" w:sz="4" w:space="0"/>
              <w:left w:val="single" w:color="auto" w:sz="4" w:space="0"/>
              <w:right w:val="single" w:color="auto" w:sz="4" w:space="0"/>
            </w:tcBorders>
            <w:shd w:val="clear" w:color="auto" w:fill="auto"/>
            <w:vAlign w:val="center"/>
          </w:tcPr>
          <w:p w14:paraId="0332A656">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整体应答情况</w:t>
            </w: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7222B2ED">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应答偏离情况</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06BF00">
            <w:pPr>
              <w:pStyle w:val="37"/>
              <w:adjustRightInd w:val="0"/>
              <w:snapToGrid w:val="0"/>
              <w:spacing w:before="0" w:beforeAutospacing="0" w:after="0" w:afterAutospacing="0" w:line="360" w:lineRule="auto"/>
              <w:rPr>
                <w:sz w:val="20"/>
                <w:szCs w:val="20"/>
              </w:rPr>
            </w:pPr>
            <w:r>
              <w:rPr>
                <w:rFonts w:hint="eastAsia"/>
                <w:sz w:val="20"/>
                <w:szCs w:val="20"/>
              </w:rPr>
              <w:t>对于非实质性条款（商务规范书、技术规范书中非标“★或*”条款为非实质性条款），有一项负偏离者，扣2分，扣完为止。</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2E70E6B0">
            <w:pPr>
              <w:pStyle w:val="37"/>
              <w:rPr>
                <w:sz w:val="20"/>
                <w:szCs w:val="20"/>
              </w:rPr>
            </w:pPr>
            <w:r>
              <w:rPr>
                <w:rFonts w:ascii="微软雅黑" w:hAnsi="微软雅黑" w:eastAsia="微软雅黑" w:cs="微软雅黑"/>
                <w:color w:val="000000"/>
                <w:sz w:val="18"/>
                <w:szCs w:val="18"/>
              </w:rPr>
              <w:t>10</w:t>
            </w:r>
          </w:p>
        </w:tc>
      </w:tr>
      <w:tr w14:paraId="000E84A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67681EEA">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AC3521">
            <w:pPr>
              <w:widowControl/>
              <w:adjustRightInd w:val="0"/>
              <w:snapToGrid w:val="0"/>
              <w:spacing w:line="360" w:lineRule="auto"/>
              <w:jc w:val="left"/>
              <w:rPr>
                <w:rFonts w:ascii="宋体" w:hAnsi="宋体" w:cs="宋体"/>
                <w:kern w:val="0"/>
                <w:sz w:val="20"/>
                <w:szCs w:val="20"/>
              </w:rPr>
            </w:pPr>
          </w:p>
        </w:tc>
        <w:tc>
          <w:tcPr>
            <w:tcW w:w="1243" w:type="dxa"/>
            <w:gridSpan w:val="2"/>
            <w:vMerge w:val="continue"/>
            <w:tcBorders>
              <w:left w:val="single" w:color="auto" w:sz="4" w:space="0"/>
              <w:bottom w:val="single" w:color="auto" w:sz="4" w:space="0"/>
              <w:right w:val="single" w:color="auto" w:sz="4" w:space="0"/>
            </w:tcBorders>
            <w:shd w:val="clear" w:color="auto" w:fill="auto"/>
            <w:vAlign w:val="center"/>
          </w:tcPr>
          <w:p w14:paraId="16D72FFA">
            <w:pPr>
              <w:adjustRightInd w:val="0"/>
              <w:snapToGrid w:val="0"/>
              <w:spacing w:line="360" w:lineRule="auto"/>
              <w:jc w:val="center"/>
              <w:rPr>
                <w:rFonts w:ascii="宋体" w:hAnsi="宋体" w:cs="宋体"/>
                <w:kern w:val="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314E40C8">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应答文件质量</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07F701">
            <w:pPr>
              <w:pStyle w:val="37"/>
              <w:adjustRightInd w:val="0"/>
              <w:snapToGrid w:val="0"/>
              <w:spacing w:before="0" w:beforeAutospacing="0" w:after="0" w:afterAutospacing="0" w:line="360" w:lineRule="auto"/>
              <w:rPr>
                <w:sz w:val="20"/>
                <w:szCs w:val="20"/>
              </w:rPr>
            </w:pPr>
            <w:r>
              <w:rPr>
                <w:rFonts w:hint="eastAsia"/>
                <w:sz w:val="20"/>
                <w:szCs w:val="20"/>
              </w:rPr>
              <w:t>根据项目内容及需求编制方案建议书，按照方案建议书完整性进行评比：</w:t>
            </w:r>
            <w:r>
              <w:rPr>
                <w:rFonts w:hint="eastAsia"/>
                <w:sz w:val="20"/>
                <w:szCs w:val="20"/>
              </w:rPr>
              <w:br w:type="textWrapping"/>
            </w:r>
            <w:r>
              <w:rPr>
                <w:rFonts w:hint="eastAsia"/>
                <w:sz w:val="20"/>
                <w:szCs w:val="20"/>
              </w:rPr>
              <w:t>1.内容详尽，描述清晰，得4～5分；</w:t>
            </w:r>
            <w:r>
              <w:rPr>
                <w:rFonts w:hint="eastAsia"/>
                <w:sz w:val="20"/>
                <w:szCs w:val="20"/>
              </w:rPr>
              <w:br w:type="textWrapping"/>
            </w:r>
            <w:r>
              <w:rPr>
                <w:rFonts w:hint="eastAsia"/>
                <w:sz w:val="20"/>
                <w:szCs w:val="20"/>
              </w:rPr>
              <w:t>2.内容简要，应答合理，得2～3分；</w:t>
            </w:r>
            <w:r>
              <w:rPr>
                <w:rFonts w:hint="eastAsia"/>
                <w:sz w:val="20"/>
                <w:szCs w:val="20"/>
              </w:rPr>
              <w:br w:type="textWrapping"/>
            </w:r>
            <w:r>
              <w:rPr>
                <w:rFonts w:hint="eastAsia"/>
                <w:sz w:val="20"/>
                <w:szCs w:val="20"/>
              </w:rPr>
              <w:t>3.内容不全，描述不清，得0～1分。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3E768D4D">
            <w:pPr>
              <w:pStyle w:val="37"/>
              <w:rPr>
                <w:sz w:val="20"/>
                <w:szCs w:val="20"/>
              </w:rPr>
            </w:pPr>
            <w:r>
              <w:rPr>
                <w:rFonts w:hint="eastAsia" w:ascii="微软雅黑" w:hAnsi="微软雅黑" w:eastAsia="微软雅黑" w:cs="微软雅黑"/>
                <w:color w:val="000000"/>
                <w:sz w:val="18"/>
                <w:szCs w:val="18"/>
              </w:rPr>
              <w:t>5</w:t>
            </w:r>
          </w:p>
        </w:tc>
      </w:tr>
      <w:tr w14:paraId="741855D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449DB6C5">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DDAAA6">
            <w:pPr>
              <w:widowControl/>
              <w:adjustRightInd w:val="0"/>
              <w:snapToGrid w:val="0"/>
              <w:spacing w:line="360" w:lineRule="auto"/>
              <w:jc w:val="left"/>
              <w:rPr>
                <w:rFonts w:ascii="宋体" w:hAnsi="宋体" w:cs="宋体"/>
                <w:kern w:val="0"/>
                <w:sz w:val="20"/>
                <w:szCs w:val="20"/>
              </w:rPr>
            </w:pPr>
          </w:p>
        </w:tc>
        <w:tc>
          <w:tcPr>
            <w:tcW w:w="1243" w:type="dxa"/>
            <w:gridSpan w:val="2"/>
            <w:tcBorders>
              <w:top w:val="single" w:color="auto" w:sz="4" w:space="0"/>
              <w:left w:val="single" w:color="auto" w:sz="4" w:space="0"/>
              <w:right w:val="single" w:color="auto" w:sz="4" w:space="0"/>
            </w:tcBorders>
            <w:shd w:val="clear" w:color="auto" w:fill="auto"/>
            <w:vAlign w:val="center"/>
          </w:tcPr>
          <w:p w14:paraId="505089BA">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应答人实力</w:t>
            </w: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06849353">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业绩</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61353A">
            <w:pPr>
              <w:pStyle w:val="37"/>
              <w:adjustRightInd w:val="0"/>
              <w:snapToGrid w:val="0"/>
              <w:spacing w:before="0" w:beforeAutospacing="0" w:after="0" w:afterAutospacing="0" w:line="360" w:lineRule="auto"/>
              <w:rPr>
                <w:rFonts w:hint="eastAsia"/>
                <w:sz w:val="20"/>
                <w:szCs w:val="20"/>
                <w:highlight w:val="none"/>
              </w:rPr>
            </w:pPr>
            <w:r>
              <w:rPr>
                <w:rFonts w:hint="eastAsia"/>
                <w:sz w:val="20"/>
                <w:szCs w:val="20"/>
                <w:highlight w:val="none"/>
                <w:lang w:val="en-US" w:eastAsia="zh-CN"/>
              </w:rPr>
              <w:t>应答人须提供2023年1月1日至本公告发布之日前一日止的设备购销类业绩。每提供一份符合要求的业绩合同得10分，最高得 20分。</w:t>
            </w:r>
          </w:p>
          <w:p w14:paraId="63F6E6B4">
            <w:pPr>
              <w:pStyle w:val="37"/>
              <w:adjustRightInd w:val="0"/>
              <w:snapToGrid w:val="0"/>
              <w:spacing w:before="0" w:beforeAutospacing="0" w:after="0" w:afterAutospacing="0" w:line="360" w:lineRule="auto"/>
              <w:rPr>
                <w:sz w:val="20"/>
                <w:szCs w:val="20"/>
              </w:rPr>
            </w:pPr>
            <w:r>
              <w:rPr>
                <w:rFonts w:hint="eastAsia"/>
                <w:sz w:val="20"/>
                <w:szCs w:val="20"/>
              </w:rPr>
              <w:t>（1）需提供合同关键页扫描件，包括但不限于合同首页、标的页、签署页（原则上有双方签字或盖章其一的即可，但业绩合同中有特殊规定如“合同签字并/和盖章后生效”的除外）。</w:t>
            </w:r>
          </w:p>
          <w:p w14:paraId="38DFD696">
            <w:pPr>
              <w:pStyle w:val="37"/>
              <w:adjustRightInd w:val="0"/>
              <w:snapToGrid w:val="0"/>
              <w:spacing w:before="0" w:beforeAutospacing="0" w:after="0" w:afterAutospacing="0" w:line="360" w:lineRule="auto"/>
              <w:rPr>
                <w:sz w:val="20"/>
                <w:szCs w:val="20"/>
              </w:rPr>
            </w:pPr>
            <w:r>
              <w:rPr>
                <w:rFonts w:hint="eastAsia"/>
                <w:sz w:val="20"/>
                <w:szCs w:val="20"/>
              </w:rPr>
              <w:t>（2）如业绩为框架合同，须按上述要求同时提供框架合同及其订单或结算单的关键页扫描件，以框架合同数量作为业绩数量统计依据。</w:t>
            </w:r>
          </w:p>
          <w:p w14:paraId="23EFA18C">
            <w:pPr>
              <w:pStyle w:val="37"/>
              <w:adjustRightInd w:val="0"/>
              <w:snapToGrid w:val="0"/>
              <w:spacing w:before="0" w:beforeAutospacing="0" w:after="0" w:afterAutospacing="0" w:line="360" w:lineRule="auto"/>
              <w:rPr>
                <w:sz w:val="20"/>
                <w:szCs w:val="20"/>
              </w:rPr>
            </w:pPr>
            <w:r>
              <w:rPr>
                <w:rFonts w:hint="eastAsia"/>
                <w:sz w:val="20"/>
                <w:szCs w:val="20"/>
              </w:rPr>
              <w:t>（3）业绩时间认定：双方都有签订的日期，以较迟的签订的日期为准。仅一方有签订的日期，以该日期为准。若无合同签署时间则以合同中明确的合同履行起始时间为准。签章落款时间、履行起始时间均未提供或不明确的合同不予认可。业绩为框架合同的，以订单或结算单签署时间为准；</w:t>
            </w:r>
          </w:p>
          <w:p w14:paraId="40C0B167">
            <w:pPr>
              <w:pStyle w:val="37"/>
              <w:adjustRightInd w:val="0"/>
              <w:snapToGrid w:val="0"/>
              <w:spacing w:before="0" w:beforeAutospacing="0" w:after="0" w:afterAutospacing="0" w:line="360" w:lineRule="auto"/>
              <w:rPr>
                <w:sz w:val="20"/>
                <w:szCs w:val="20"/>
              </w:rPr>
            </w:pPr>
            <w:r>
              <w:rPr>
                <w:rFonts w:hint="eastAsia"/>
                <w:sz w:val="20"/>
                <w:szCs w:val="20"/>
              </w:rPr>
              <w:t>（4）业绩关键页扫描件未提供、提供不全或提供的材料内容无法辨识的均不得分。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76C93048">
            <w:pPr>
              <w:pStyle w:val="37"/>
              <w:rPr>
                <w:sz w:val="20"/>
                <w:szCs w:val="20"/>
              </w:rPr>
            </w:pPr>
            <w:r>
              <w:rPr>
                <w:rFonts w:hint="eastAsia" w:ascii="微软雅黑" w:hAnsi="微软雅黑" w:eastAsia="微软雅黑" w:cs="微软雅黑"/>
                <w:color w:val="000000"/>
                <w:sz w:val="18"/>
                <w:szCs w:val="18"/>
              </w:rPr>
              <w:t>20</w:t>
            </w:r>
          </w:p>
        </w:tc>
      </w:tr>
      <w:tr w14:paraId="35BBF05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14FEA4BF">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FFBDC">
            <w:pPr>
              <w:widowControl/>
              <w:adjustRightInd w:val="0"/>
              <w:snapToGrid w:val="0"/>
              <w:spacing w:line="360" w:lineRule="auto"/>
              <w:jc w:val="left"/>
              <w:rPr>
                <w:rFonts w:ascii="宋体" w:hAnsi="宋体" w:cs="宋体"/>
                <w:kern w:val="0"/>
                <w:sz w:val="20"/>
                <w:szCs w:val="20"/>
              </w:rPr>
            </w:pPr>
          </w:p>
        </w:tc>
        <w:tc>
          <w:tcPr>
            <w:tcW w:w="1243" w:type="dxa"/>
            <w:gridSpan w:val="2"/>
            <w:vMerge w:val="restart"/>
            <w:tcBorders>
              <w:top w:val="single" w:color="auto" w:sz="4" w:space="0"/>
              <w:left w:val="single" w:color="auto" w:sz="4" w:space="0"/>
              <w:right w:val="single" w:color="auto" w:sz="4" w:space="0"/>
            </w:tcBorders>
            <w:shd w:val="clear" w:color="auto" w:fill="auto"/>
            <w:vAlign w:val="center"/>
          </w:tcPr>
          <w:p w14:paraId="0C2451D7">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技术方案</w:t>
            </w: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26BAD0A9">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项目整体理解</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9A135B">
            <w:pPr>
              <w:pStyle w:val="37"/>
              <w:adjustRightInd w:val="0"/>
              <w:snapToGrid w:val="0"/>
              <w:spacing w:before="0" w:beforeAutospacing="0" w:after="0" w:afterAutospacing="0" w:line="360" w:lineRule="auto"/>
              <w:rPr>
                <w:sz w:val="20"/>
                <w:szCs w:val="20"/>
              </w:rPr>
            </w:pPr>
            <w:r>
              <w:rPr>
                <w:rFonts w:hint="eastAsia"/>
                <w:sz w:val="20"/>
                <w:szCs w:val="20"/>
              </w:rPr>
              <w:t>根据供应商对项目需求、目标、范围等的理解深度与准确性，以及在此基础上提出的整体思路和应对策略的合理性进行评分：</w:t>
            </w:r>
            <w:r>
              <w:rPr>
                <w:rFonts w:hint="eastAsia"/>
                <w:sz w:val="20"/>
                <w:szCs w:val="20"/>
              </w:rPr>
              <w:br w:type="textWrapping"/>
            </w:r>
            <w:r>
              <w:rPr>
                <w:rFonts w:hint="eastAsia"/>
                <w:sz w:val="20"/>
                <w:szCs w:val="20"/>
              </w:rPr>
              <w:t>1、对项目需求、目标、范围理解精准，整体思路和应对策略具有创新性、前瞻性与很强的针对性，得11-15分；</w:t>
            </w:r>
            <w:r>
              <w:rPr>
                <w:rFonts w:hint="eastAsia"/>
                <w:sz w:val="20"/>
                <w:szCs w:val="20"/>
              </w:rPr>
              <w:br w:type="textWrapping"/>
            </w:r>
            <w:r>
              <w:rPr>
                <w:rFonts w:hint="eastAsia"/>
                <w:sz w:val="20"/>
                <w:szCs w:val="20"/>
              </w:rPr>
              <w:t>2、对项目需求、目标、范围理解较准确，整体思路和应对策略较为合理，得6-10分；</w:t>
            </w:r>
          </w:p>
          <w:p w14:paraId="3D21A4A4">
            <w:pPr>
              <w:pStyle w:val="37"/>
              <w:adjustRightInd w:val="0"/>
              <w:snapToGrid w:val="0"/>
              <w:spacing w:before="0" w:beforeAutospacing="0" w:after="0" w:afterAutospacing="0" w:line="360" w:lineRule="auto"/>
              <w:rPr>
                <w:sz w:val="20"/>
                <w:szCs w:val="20"/>
              </w:rPr>
            </w:pPr>
            <w:r>
              <w:rPr>
                <w:rFonts w:hint="eastAsia"/>
                <w:sz w:val="20"/>
                <w:szCs w:val="20"/>
              </w:rPr>
              <w:t>3、对项目需求、目标、范围理解模糊，整体思路和应对策略无针对性与合理性，得0-5分；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53B0DF39">
            <w:pPr>
              <w:pStyle w:val="37"/>
              <w:rPr>
                <w:sz w:val="20"/>
                <w:szCs w:val="20"/>
              </w:rPr>
            </w:pPr>
            <w:r>
              <w:rPr>
                <w:rFonts w:hint="eastAsia" w:ascii="微软雅黑" w:hAnsi="微软雅黑" w:eastAsia="微软雅黑" w:cs="微软雅黑"/>
                <w:color w:val="000000"/>
                <w:sz w:val="18"/>
                <w:szCs w:val="18"/>
              </w:rPr>
              <w:t>15</w:t>
            </w:r>
          </w:p>
        </w:tc>
      </w:tr>
      <w:tr w14:paraId="383C477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29880C6A">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F4A5D0">
            <w:pPr>
              <w:widowControl/>
              <w:adjustRightInd w:val="0"/>
              <w:snapToGrid w:val="0"/>
              <w:spacing w:line="360" w:lineRule="auto"/>
              <w:jc w:val="left"/>
              <w:rPr>
                <w:rFonts w:ascii="宋体" w:hAnsi="宋体" w:cs="宋体"/>
                <w:kern w:val="0"/>
                <w:sz w:val="20"/>
                <w:szCs w:val="20"/>
              </w:rPr>
            </w:pPr>
          </w:p>
        </w:tc>
        <w:tc>
          <w:tcPr>
            <w:tcW w:w="1243" w:type="dxa"/>
            <w:gridSpan w:val="2"/>
            <w:vMerge w:val="continue"/>
            <w:tcBorders>
              <w:top w:val="single" w:color="auto" w:sz="4" w:space="0"/>
              <w:left w:val="single" w:color="auto" w:sz="4" w:space="0"/>
              <w:right w:val="single" w:color="auto" w:sz="4" w:space="0"/>
            </w:tcBorders>
            <w:shd w:val="clear" w:color="auto" w:fill="auto"/>
            <w:vAlign w:val="center"/>
          </w:tcPr>
          <w:p w14:paraId="5B25B190">
            <w:pPr>
              <w:adjustRightInd w:val="0"/>
              <w:snapToGrid w:val="0"/>
              <w:spacing w:line="360" w:lineRule="auto"/>
              <w:jc w:val="center"/>
              <w:rPr>
                <w:rFonts w:ascii="宋体" w:hAnsi="宋体" w:cs="宋体"/>
                <w:kern w:val="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36B0AE7B">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供货方案</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9DBCF">
            <w:pPr>
              <w:pStyle w:val="37"/>
              <w:adjustRightInd w:val="0"/>
              <w:snapToGrid w:val="0"/>
              <w:spacing w:before="0" w:beforeAutospacing="0" w:after="0" w:afterAutospacing="0" w:line="360" w:lineRule="auto"/>
              <w:rPr>
                <w:sz w:val="20"/>
                <w:szCs w:val="20"/>
              </w:rPr>
            </w:pPr>
            <w:r>
              <w:rPr>
                <w:rFonts w:hint="eastAsia"/>
                <w:sz w:val="20"/>
                <w:szCs w:val="20"/>
              </w:rPr>
              <w:t>根据应答人的供货方案优劣进行综合比较评分：</w:t>
            </w:r>
          </w:p>
          <w:p w14:paraId="16F5284D">
            <w:pPr>
              <w:pStyle w:val="37"/>
              <w:adjustRightInd w:val="0"/>
              <w:snapToGrid w:val="0"/>
              <w:spacing w:before="0" w:beforeAutospacing="0" w:after="0" w:afterAutospacing="0" w:line="360" w:lineRule="auto"/>
              <w:rPr>
                <w:sz w:val="20"/>
                <w:szCs w:val="20"/>
              </w:rPr>
            </w:pPr>
            <w:r>
              <w:rPr>
                <w:rFonts w:hint="eastAsia"/>
                <w:sz w:val="20"/>
                <w:szCs w:val="20"/>
              </w:rPr>
              <w:t>1、供货计划及内容精准契合项目需求，供货人员配置科学且经验丰富，供货时间安排紧凑合理，具备高度灵活性以应对突发状况，可执行性极强，得16-20分:</w:t>
            </w:r>
          </w:p>
          <w:p w14:paraId="3DEF5C77">
            <w:pPr>
              <w:pStyle w:val="37"/>
              <w:adjustRightInd w:val="0"/>
              <w:snapToGrid w:val="0"/>
              <w:spacing w:before="0" w:beforeAutospacing="0" w:after="0" w:afterAutospacing="0" w:line="360" w:lineRule="auto"/>
              <w:rPr>
                <w:sz w:val="20"/>
                <w:szCs w:val="20"/>
              </w:rPr>
            </w:pPr>
            <w:r>
              <w:rPr>
                <w:rFonts w:hint="eastAsia"/>
                <w:sz w:val="20"/>
                <w:szCs w:val="20"/>
              </w:rPr>
              <w:t>2、提供的供货计划及内容、供货人员及供货时间安排完全符合项目需求，计划安排合理、可执行性高，各环节衔接顺畅，得11-15分:</w:t>
            </w:r>
          </w:p>
          <w:p w14:paraId="02505F8D">
            <w:pPr>
              <w:pStyle w:val="37"/>
              <w:adjustRightInd w:val="0"/>
              <w:snapToGrid w:val="0"/>
              <w:spacing w:before="0" w:beforeAutospacing="0" w:after="0" w:afterAutospacing="0" w:line="360" w:lineRule="auto"/>
              <w:rPr>
                <w:sz w:val="20"/>
                <w:szCs w:val="20"/>
              </w:rPr>
            </w:pPr>
            <w:r>
              <w:rPr>
                <w:rFonts w:hint="eastAsia"/>
                <w:sz w:val="20"/>
                <w:szCs w:val="20"/>
              </w:rPr>
              <w:t>3、供货计划及内容、供货人员及供货时间安排基本符合项目需求，计划安排基本合理、可执行性一般，虽能满足基本供货要求，但存在一些细节问题，得6-10分。</w:t>
            </w:r>
          </w:p>
          <w:p w14:paraId="5B3364B7">
            <w:pPr>
              <w:pStyle w:val="37"/>
              <w:adjustRightInd w:val="0"/>
              <w:snapToGrid w:val="0"/>
              <w:spacing w:before="0" w:beforeAutospacing="0" w:after="0" w:afterAutospacing="0" w:line="360" w:lineRule="auto"/>
              <w:rPr>
                <w:sz w:val="20"/>
                <w:szCs w:val="20"/>
              </w:rPr>
            </w:pPr>
            <w:r>
              <w:rPr>
                <w:rFonts w:hint="eastAsia"/>
                <w:sz w:val="20"/>
                <w:szCs w:val="20"/>
              </w:rPr>
              <w:t>4、供货计划及内容、供货人员及供货时间安排不符合项目需求，计划安排不合理、可执行性较差，可能导致供货延迟、人员不足等影响项目进度的问题，得0-5分。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43FA59E9">
            <w:pPr>
              <w:pStyle w:val="37"/>
              <w:rPr>
                <w:sz w:val="20"/>
                <w:szCs w:val="20"/>
              </w:rPr>
            </w:pPr>
            <w:r>
              <w:rPr>
                <w:rFonts w:hint="eastAsia" w:ascii="微软雅黑" w:hAnsi="微软雅黑" w:eastAsia="微软雅黑" w:cs="微软雅黑"/>
                <w:color w:val="000000"/>
                <w:sz w:val="18"/>
                <w:szCs w:val="18"/>
              </w:rPr>
              <w:t>20</w:t>
            </w:r>
          </w:p>
        </w:tc>
      </w:tr>
      <w:tr w14:paraId="1482E2F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5EA876CF">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A097C6">
            <w:pPr>
              <w:widowControl/>
              <w:adjustRightInd w:val="0"/>
              <w:snapToGrid w:val="0"/>
              <w:spacing w:line="360" w:lineRule="auto"/>
              <w:jc w:val="left"/>
              <w:rPr>
                <w:rFonts w:ascii="宋体" w:hAnsi="宋体" w:cs="宋体"/>
                <w:kern w:val="0"/>
                <w:sz w:val="20"/>
                <w:szCs w:val="20"/>
              </w:rPr>
            </w:pPr>
          </w:p>
        </w:tc>
        <w:tc>
          <w:tcPr>
            <w:tcW w:w="1243" w:type="dxa"/>
            <w:gridSpan w:val="2"/>
            <w:vMerge w:val="continue"/>
            <w:tcBorders>
              <w:top w:val="single" w:color="auto" w:sz="4" w:space="0"/>
              <w:left w:val="single" w:color="auto" w:sz="4" w:space="0"/>
              <w:right w:val="single" w:color="auto" w:sz="4" w:space="0"/>
            </w:tcBorders>
            <w:shd w:val="clear" w:color="auto" w:fill="auto"/>
            <w:vAlign w:val="center"/>
          </w:tcPr>
          <w:p w14:paraId="0B809AE2">
            <w:pPr>
              <w:adjustRightInd w:val="0"/>
              <w:snapToGrid w:val="0"/>
              <w:spacing w:line="360" w:lineRule="auto"/>
              <w:jc w:val="center"/>
              <w:rPr>
                <w:rFonts w:ascii="宋体" w:hAnsi="宋体" w:cs="宋体"/>
                <w:kern w:val="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40465958">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质量控制</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6EE739">
            <w:pPr>
              <w:pStyle w:val="37"/>
              <w:adjustRightInd w:val="0"/>
              <w:snapToGrid w:val="0"/>
              <w:spacing w:before="0" w:beforeAutospacing="0" w:after="0" w:afterAutospacing="0" w:line="360" w:lineRule="auto"/>
              <w:rPr>
                <w:sz w:val="20"/>
                <w:szCs w:val="20"/>
              </w:rPr>
            </w:pPr>
            <w:r>
              <w:rPr>
                <w:rFonts w:hint="eastAsia"/>
                <w:sz w:val="20"/>
                <w:szCs w:val="20"/>
              </w:rPr>
              <w:t xml:space="preserve">根据货物质量控制计划(包括并不限于质量目标、质量措施、以及质量风险预案等内容)进行评分: </w:t>
            </w:r>
          </w:p>
          <w:p w14:paraId="5F067169">
            <w:pPr>
              <w:pStyle w:val="37"/>
              <w:adjustRightInd w:val="0"/>
              <w:snapToGrid w:val="0"/>
              <w:spacing w:before="0" w:beforeAutospacing="0" w:after="0" w:afterAutospacing="0" w:line="360" w:lineRule="auto"/>
              <w:rPr>
                <w:sz w:val="20"/>
                <w:szCs w:val="20"/>
              </w:rPr>
            </w:pPr>
            <w:r>
              <w:rPr>
                <w:rFonts w:hint="eastAsia"/>
                <w:sz w:val="20"/>
                <w:szCs w:val="20"/>
              </w:rPr>
              <w:t>1、质量目标认识极为清晰，远超项目要求；质量保证措施丰富且极具创新性、切实可行；质量风险响应预案全面、细致，能充分应对各类复杂风险情况，得11-15分:</w:t>
            </w:r>
          </w:p>
          <w:p w14:paraId="13EDA8FE">
            <w:pPr>
              <w:pStyle w:val="37"/>
              <w:adjustRightInd w:val="0"/>
              <w:snapToGrid w:val="0"/>
              <w:spacing w:before="0" w:beforeAutospacing="0" w:after="0" w:afterAutospacing="0" w:line="360" w:lineRule="auto"/>
              <w:rPr>
                <w:sz w:val="20"/>
                <w:szCs w:val="20"/>
              </w:rPr>
            </w:pPr>
            <w:r>
              <w:rPr>
                <w:rFonts w:hint="eastAsia"/>
                <w:sz w:val="20"/>
                <w:szCs w:val="20"/>
              </w:rPr>
              <w:t>2、质量保证措施、方法和手段良好，满足质量要求，具备基本的质量风险响应预案，能应对一般性质量问题和风险，得6-10分。</w:t>
            </w:r>
          </w:p>
          <w:p w14:paraId="581F544F">
            <w:pPr>
              <w:pStyle w:val="37"/>
              <w:adjustRightInd w:val="0"/>
              <w:snapToGrid w:val="0"/>
              <w:spacing w:before="0" w:beforeAutospacing="0" w:after="0" w:afterAutospacing="0" w:line="360" w:lineRule="auto"/>
              <w:rPr>
                <w:sz w:val="20"/>
                <w:szCs w:val="20"/>
              </w:rPr>
            </w:pPr>
            <w:r>
              <w:rPr>
                <w:rFonts w:hint="eastAsia"/>
                <w:sz w:val="20"/>
                <w:szCs w:val="20"/>
              </w:rPr>
              <w:t>3、质量保证措施、方法和手段一般，仅基不满足质量要求，不具备质量风险响应预案，难以有效保障项目质量和应对风险，得0-5分。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57E734AE">
            <w:pPr>
              <w:pStyle w:val="37"/>
              <w:rPr>
                <w:sz w:val="20"/>
                <w:szCs w:val="20"/>
              </w:rPr>
            </w:pPr>
            <w:r>
              <w:rPr>
                <w:rFonts w:hint="eastAsia" w:ascii="微软雅黑" w:hAnsi="微软雅黑" w:eastAsia="微软雅黑" w:cs="微软雅黑"/>
                <w:color w:val="000000"/>
                <w:sz w:val="18"/>
                <w:szCs w:val="18"/>
              </w:rPr>
              <w:t>15</w:t>
            </w:r>
          </w:p>
        </w:tc>
      </w:tr>
      <w:tr w14:paraId="7FCF137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vMerge w:val="continue"/>
            <w:tcBorders>
              <w:top w:val="single" w:color="auto" w:sz="4" w:space="0"/>
              <w:left w:val="single" w:color="auto" w:sz="6" w:space="0"/>
              <w:bottom w:val="single" w:color="auto" w:sz="4" w:space="0"/>
              <w:right w:val="single" w:color="auto" w:sz="4" w:space="0"/>
            </w:tcBorders>
            <w:shd w:val="clear" w:color="auto" w:fill="auto"/>
            <w:vAlign w:val="center"/>
          </w:tcPr>
          <w:p w14:paraId="53678980">
            <w:pPr>
              <w:widowControl/>
              <w:adjustRightInd w:val="0"/>
              <w:snapToGrid w:val="0"/>
              <w:spacing w:line="360" w:lineRule="auto"/>
              <w:jc w:val="left"/>
              <w:rPr>
                <w:rFonts w:ascii="宋体" w:hAnsi="宋体" w:cs="宋体"/>
                <w:sz w:val="20"/>
                <w:szCs w:val="20"/>
              </w:rPr>
            </w:pPr>
          </w:p>
        </w:tc>
        <w:tc>
          <w:tcPr>
            <w:tcW w:w="40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2DFC3E">
            <w:pPr>
              <w:widowControl/>
              <w:adjustRightInd w:val="0"/>
              <w:snapToGrid w:val="0"/>
              <w:spacing w:line="360" w:lineRule="auto"/>
              <w:jc w:val="left"/>
              <w:rPr>
                <w:rFonts w:ascii="宋体" w:hAnsi="宋体" w:cs="宋体"/>
                <w:kern w:val="0"/>
                <w:sz w:val="20"/>
                <w:szCs w:val="20"/>
              </w:rPr>
            </w:pPr>
          </w:p>
        </w:tc>
        <w:tc>
          <w:tcPr>
            <w:tcW w:w="1243" w:type="dxa"/>
            <w:gridSpan w:val="2"/>
            <w:vMerge w:val="continue"/>
            <w:tcBorders>
              <w:top w:val="single" w:color="auto" w:sz="4" w:space="0"/>
              <w:left w:val="single" w:color="auto" w:sz="4" w:space="0"/>
              <w:right w:val="single" w:color="auto" w:sz="4" w:space="0"/>
            </w:tcBorders>
            <w:shd w:val="clear" w:color="auto" w:fill="auto"/>
            <w:vAlign w:val="center"/>
          </w:tcPr>
          <w:p w14:paraId="05FF27BE">
            <w:pPr>
              <w:adjustRightInd w:val="0"/>
              <w:snapToGrid w:val="0"/>
              <w:spacing w:line="360" w:lineRule="auto"/>
              <w:jc w:val="center"/>
              <w:rPr>
                <w:rFonts w:ascii="宋体" w:hAnsi="宋体" w:cs="宋体"/>
                <w:kern w:val="0"/>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14:paraId="30787036">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验收方案</w:t>
            </w:r>
          </w:p>
        </w:tc>
        <w:tc>
          <w:tcPr>
            <w:tcW w:w="232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9C1A2">
            <w:pPr>
              <w:pStyle w:val="37"/>
              <w:adjustRightInd w:val="0"/>
              <w:snapToGrid w:val="0"/>
              <w:spacing w:before="0" w:beforeAutospacing="0" w:after="0" w:afterAutospacing="0" w:line="360" w:lineRule="auto"/>
              <w:rPr>
                <w:sz w:val="20"/>
                <w:szCs w:val="20"/>
              </w:rPr>
            </w:pPr>
            <w:r>
              <w:rPr>
                <w:rFonts w:hint="eastAsia"/>
                <w:sz w:val="20"/>
                <w:szCs w:val="20"/>
              </w:rPr>
              <w:t>根据项目验收方案的详细度、配合度、材料完整度打分：</w:t>
            </w:r>
            <w:r>
              <w:rPr>
                <w:rFonts w:hint="eastAsia"/>
                <w:sz w:val="20"/>
                <w:szCs w:val="20"/>
              </w:rPr>
              <w:br w:type="textWrapping"/>
            </w:r>
            <w:r>
              <w:rPr>
                <w:rFonts w:hint="eastAsia"/>
                <w:sz w:val="20"/>
                <w:szCs w:val="20"/>
              </w:rPr>
              <w:t>1、项目的验收方案详细，合理性、科学性、可扩展性强得11-15分；</w:t>
            </w:r>
            <w:r>
              <w:rPr>
                <w:rFonts w:hint="eastAsia"/>
                <w:sz w:val="20"/>
                <w:szCs w:val="20"/>
              </w:rPr>
              <w:br w:type="textWrapping"/>
            </w:r>
            <w:r>
              <w:rPr>
                <w:rFonts w:hint="eastAsia"/>
                <w:sz w:val="20"/>
                <w:szCs w:val="20"/>
              </w:rPr>
              <w:t>2、项目的验收方案良好，合理性、科学性、可扩展性良好得6-10分；</w:t>
            </w:r>
            <w:r>
              <w:rPr>
                <w:rFonts w:hint="eastAsia"/>
                <w:sz w:val="20"/>
                <w:szCs w:val="20"/>
              </w:rPr>
              <w:br w:type="textWrapping"/>
            </w:r>
            <w:r>
              <w:rPr>
                <w:rFonts w:hint="eastAsia"/>
                <w:sz w:val="20"/>
                <w:szCs w:val="20"/>
              </w:rPr>
              <w:t>3、项目的验收方案一般，合理性、科学性、可扩展性一般得0-5分；</w:t>
            </w:r>
          </w:p>
        </w:tc>
        <w:tc>
          <w:tcPr>
            <w:tcW w:w="907" w:type="dxa"/>
            <w:tcBorders>
              <w:top w:val="single" w:color="auto" w:sz="4" w:space="0"/>
              <w:left w:val="single" w:color="auto" w:sz="4" w:space="0"/>
              <w:bottom w:val="single" w:color="auto" w:sz="4" w:space="0"/>
              <w:right w:val="single" w:color="auto" w:sz="6" w:space="0"/>
            </w:tcBorders>
            <w:shd w:val="clear" w:color="auto" w:fill="auto"/>
            <w:vAlign w:val="center"/>
          </w:tcPr>
          <w:p w14:paraId="5E88A254">
            <w:pPr>
              <w:pStyle w:val="37"/>
              <w:rPr>
                <w:sz w:val="20"/>
                <w:szCs w:val="20"/>
              </w:rPr>
            </w:pPr>
            <w:r>
              <w:rPr>
                <w:rFonts w:hint="eastAsia" w:ascii="微软雅黑" w:hAnsi="微软雅黑" w:eastAsia="微软雅黑" w:cs="微软雅黑"/>
                <w:color w:val="000000"/>
                <w:sz w:val="18"/>
                <w:szCs w:val="18"/>
              </w:rPr>
              <w:t>15</w:t>
            </w:r>
          </w:p>
        </w:tc>
      </w:tr>
      <w:tr w14:paraId="6E40464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tcBorders>
              <w:top w:val="single" w:color="auto" w:sz="4" w:space="0"/>
              <w:left w:val="single" w:color="auto" w:sz="6" w:space="0"/>
              <w:bottom w:val="single" w:color="auto" w:sz="4" w:space="0"/>
              <w:right w:val="single" w:color="auto" w:sz="4" w:space="0"/>
            </w:tcBorders>
            <w:shd w:val="clear" w:color="auto" w:fill="auto"/>
            <w:vAlign w:val="center"/>
          </w:tcPr>
          <w:p w14:paraId="6840B5A7">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5.3.2.2</w:t>
            </w:r>
          </w:p>
        </w:tc>
        <w:tc>
          <w:tcPr>
            <w:tcW w:w="4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1F965">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评分计算原则</w:t>
            </w:r>
          </w:p>
        </w:tc>
        <w:tc>
          <w:tcPr>
            <w:tcW w:w="4101" w:type="pct"/>
            <w:gridSpan w:val="6"/>
            <w:tcBorders>
              <w:top w:val="single" w:color="auto" w:sz="4" w:space="0"/>
              <w:left w:val="single" w:color="auto" w:sz="4" w:space="0"/>
              <w:bottom w:val="single" w:color="auto" w:sz="4" w:space="0"/>
              <w:right w:val="single" w:color="auto" w:sz="6" w:space="0"/>
            </w:tcBorders>
            <w:shd w:val="clear" w:color="auto" w:fill="auto"/>
            <w:vAlign w:val="center"/>
          </w:tcPr>
          <w:p w14:paraId="60F0E977">
            <w:pPr>
              <w:adjustRightInd w:val="0"/>
              <w:snapToGrid w:val="0"/>
              <w:spacing w:line="360" w:lineRule="auto"/>
              <w:rPr>
                <w:rFonts w:ascii="宋体" w:hAnsi="宋体" w:cs="宋体"/>
                <w:b/>
                <w:kern w:val="0"/>
                <w:sz w:val="20"/>
                <w:szCs w:val="20"/>
              </w:rPr>
            </w:pPr>
            <w:r>
              <w:rPr>
                <w:rFonts w:hint="eastAsia" w:ascii="宋体" w:hAnsi="宋体" w:cs="宋体"/>
                <w:b/>
                <w:bCs/>
                <w:kern w:val="0"/>
                <w:sz w:val="20"/>
                <w:szCs w:val="20"/>
              </w:rPr>
              <w:t>评审办法：</w:t>
            </w:r>
            <w:r>
              <w:rPr>
                <w:rFonts w:hint="eastAsia" w:ascii="宋体" w:hAnsi="宋体" w:cs="宋体"/>
                <w:b/>
                <w:kern w:val="0"/>
                <w:sz w:val="20"/>
                <w:szCs w:val="20"/>
              </w:rPr>
              <w:t>评审方法及权重：综合评估法：技术40%，价格60%。</w:t>
            </w:r>
          </w:p>
          <w:p w14:paraId="6FD228AB">
            <w:pPr>
              <w:adjustRightInd w:val="0"/>
              <w:snapToGrid w:val="0"/>
              <w:spacing w:line="360" w:lineRule="auto"/>
              <w:rPr>
                <w:rFonts w:ascii="宋体" w:hAnsi="宋体" w:cs="宋体"/>
                <w:b/>
                <w:kern w:val="0"/>
                <w:sz w:val="20"/>
                <w:szCs w:val="20"/>
              </w:rPr>
            </w:pPr>
            <w:r>
              <w:rPr>
                <w:rFonts w:hint="eastAsia" w:ascii="宋体" w:hAnsi="宋体" w:cs="宋体"/>
                <w:b/>
                <w:kern w:val="0"/>
                <w:sz w:val="20"/>
                <w:szCs w:val="20"/>
              </w:rPr>
              <w:t>按照《技术规范书》要求、技术评分表等相关技术文档进行评审，技术百分制得分超过60分（含）才能参与价格评分和综合排名。</w:t>
            </w:r>
          </w:p>
          <w:p w14:paraId="3A9BEF99">
            <w:pPr>
              <w:adjustRightInd w:val="0"/>
              <w:snapToGrid w:val="0"/>
              <w:spacing w:line="360" w:lineRule="auto"/>
              <w:rPr>
                <w:rFonts w:ascii="宋体" w:hAnsi="宋体" w:cs="宋体"/>
                <w:kern w:val="0"/>
                <w:sz w:val="20"/>
                <w:szCs w:val="20"/>
              </w:rPr>
            </w:pPr>
            <w:r>
              <w:rPr>
                <w:rFonts w:hint="eastAsia" w:ascii="宋体" w:hAnsi="宋体" w:cs="宋体"/>
                <w:b/>
                <w:bCs/>
                <w:kern w:val="0"/>
                <w:sz w:val="20"/>
                <w:szCs w:val="20"/>
              </w:rPr>
              <w:t>报价计算公式为</w:t>
            </w:r>
            <w:r>
              <w:rPr>
                <w:rFonts w:hint="eastAsia" w:ascii="宋体" w:hAnsi="宋体" w:cs="宋体"/>
                <w:kern w:val="0"/>
                <w:sz w:val="20"/>
                <w:szCs w:val="20"/>
              </w:rPr>
              <w:t>：</w:t>
            </w:r>
          </w:p>
          <w:p w14:paraId="2CDBF8E0">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采用90%平均价满分法</w:t>
            </w:r>
          </w:p>
          <w:p w14:paraId="3FFA44D1">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评选价格等于基准价，得分100分。 </w:t>
            </w:r>
          </w:p>
          <w:p w14:paraId="12BD8CE2">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评选价格每高于基准价1%，扣2分，扣至0分为止(价格分采用内插法计算，分值保留两位小数)； </w:t>
            </w:r>
          </w:p>
          <w:p w14:paraId="7D5CB0BB">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评选价格每低于基准价1%，扣1分，扣至0分为止(价格分采用内插法计算，分值保留两位小数)。 </w:t>
            </w:r>
          </w:p>
          <w:p w14:paraId="795FF1C9">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评选基准价及计算方法： </w:t>
            </w:r>
          </w:p>
          <w:p w14:paraId="1F07BE9B">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当n≥5时，Q=90%*[(ΣBi-MaxBi-MinBi)]/(n-2) </w:t>
            </w:r>
          </w:p>
          <w:p w14:paraId="39DF02C7">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当n&lt;5时，Q=90%*ΣBi/n </w:t>
            </w:r>
          </w:p>
          <w:p w14:paraId="02C0A9C1">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式中： </w:t>
            </w:r>
          </w:p>
          <w:p w14:paraId="7516A019">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Q--基准价； ΣBi--所有有效评选价格之和； Bi--某一个有效评选价格； </w:t>
            </w:r>
          </w:p>
          <w:p w14:paraId="087DAA33">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 xml:space="preserve">MaxBi--所有有效评选价格中的最高值； MinBi--所有有效评选价格中的最低值； </w:t>
            </w:r>
          </w:p>
          <w:p w14:paraId="47694AA8">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n--有效评选价格的个数。</w:t>
            </w:r>
          </w:p>
          <w:p w14:paraId="6DE0424A">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有效评选价格的取定：合格应答人</w:t>
            </w:r>
            <w:r>
              <w:rPr>
                <w:rFonts w:hint="eastAsia" w:ascii="宋体" w:hAnsi="宋体" w:cs="宋体"/>
                <w:color w:val="FF0000"/>
                <w:kern w:val="0"/>
                <w:sz w:val="20"/>
                <w:szCs w:val="20"/>
              </w:rPr>
              <w:t>不含增值税报价</w:t>
            </w:r>
            <w:r>
              <w:rPr>
                <w:rFonts w:hint="eastAsia" w:ascii="宋体" w:hAnsi="宋体" w:cs="宋体"/>
                <w:kern w:val="0"/>
                <w:sz w:val="20"/>
                <w:szCs w:val="20"/>
              </w:rPr>
              <w:t>；</w:t>
            </w:r>
          </w:p>
          <w:p w14:paraId="7FF131B8">
            <w:pPr>
              <w:adjustRightInd w:val="0"/>
              <w:snapToGrid w:val="0"/>
              <w:spacing w:line="360" w:lineRule="auto"/>
              <w:rPr>
                <w:rFonts w:ascii="宋体" w:hAnsi="宋体" w:cs="宋体"/>
                <w:kern w:val="0"/>
                <w:sz w:val="20"/>
                <w:szCs w:val="20"/>
              </w:rPr>
            </w:pPr>
            <w:r>
              <w:rPr>
                <w:rFonts w:hint="eastAsia" w:ascii="宋体" w:hAnsi="宋体" w:cs="宋体"/>
                <w:kern w:val="0"/>
                <w:sz w:val="20"/>
                <w:szCs w:val="20"/>
              </w:rPr>
              <w:t>报价存在不同税率时，在比价时按照如下原则：A供应商评选价格=A供应商不含税价格*（1+{max（所有供应商的税率）-A供应商税率}*12%）</w:t>
            </w:r>
          </w:p>
        </w:tc>
      </w:tr>
      <w:tr w14:paraId="3EC1265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491" w:type="pct"/>
            <w:tcBorders>
              <w:top w:val="single" w:color="auto" w:sz="4" w:space="0"/>
              <w:left w:val="single" w:color="auto" w:sz="6" w:space="0"/>
              <w:bottom w:val="single" w:color="auto" w:sz="6" w:space="0"/>
              <w:right w:val="single" w:color="auto" w:sz="4" w:space="0"/>
            </w:tcBorders>
            <w:shd w:val="clear" w:color="auto" w:fill="auto"/>
            <w:vAlign w:val="center"/>
          </w:tcPr>
          <w:p w14:paraId="26CB9F9A">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5.3.4</w:t>
            </w:r>
          </w:p>
        </w:tc>
        <w:tc>
          <w:tcPr>
            <w:tcW w:w="407" w:type="pct"/>
            <w:gridSpan w:val="2"/>
            <w:tcBorders>
              <w:top w:val="single" w:color="auto" w:sz="4" w:space="0"/>
              <w:left w:val="single" w:color="auto" w:sz="4" w:space="0"/>
              <w:bottom w:val="single" w:color="auto" w:sz="6" w:space="0"/>
              <w:right w:val="single" w:color="auto" w:sz="4" w:space="0"/>
            </w:tcBorders>
            <w:shd w:val="clear" w:color="auto" w:fill="auto"/>
            <w:vAlign w:val="center"/>
          </w:tcPr>
          <w:p w14:paraId="74B7D626">
            <w:pPr>
              <w:adjustRightInd w:val="0"/>
              <w:snapToGrid w:val="0"/>
              <w:spacing w:line="360" w:lineRule="auto"/>
              <w:jc w:val="center"/>
              <w:rPr>
                <w:rFonts w:ascii="宋体" w:hAnsi="宋体" w:cs="宋体"/>
                <w:kern w:val="0"/>
                <w:sz w:val="20"/>
                <w:szCs w:val="20"/>
              </w:rPr>
            </w:pPr>
            <w:r>
              <w:rPr>
                <w:rFonts w:hint="eastAsia" w:ascii="宋体" w:hAnsi="宋体" w:cs="宋体"/>
                <w:kern w:val="0"/>
                <w:sz w:val="20"/>
                <w:szCs w:val="20"/>
              </w:rPr>
              <w:t>中选候选人推荐原则</w:t>
            </w:r>
          </w:p>
        </w:tc>
        <w:tc>
          <w:tcPr>
            <w:tcW w:w="4101" w:type="pct"/>
            <w:gridSpan w:val="6"/>
            <w:tcBorders>
              <w:top w:val="single" w:color="auto" w:sz="4" w:space="0"/>
              <w:left w:val="single" w:color="auto" w:sz="4" w:space="0"/>
              <w:bottom w:val="single" w:color="auto" w:sz="6" w:space="0"/>
              <w:right w:val="single" w:color="auto" w:sz="6" w:space="0"/>
            </w:tcBorders>
            <w:shd w:val="clear" w:color="auto" w:fill="auto"/>
            <w:vAlign w:val="center"/>
          </w:tcPr>
          <w:p w14:paraId="547C97A2">
            <w:pPr>
              <w:adjustRightInd w:val="0"/>
              <w:snapToGrid w:val="0"/>
              <w:spacing w:line="360" w:lineRule="auto"/>
              <w:rPr>
                <w:rFonts w:ascii="宋体" w:hAnsi="宋体" w:cs="宋体"/>
                <w:spacing w:val="4"/>
                <w:kern w:val="0"/>
                <w:sz w:val="20"/>
                <w:szCs w:val="20"/>
              </w:rPr>
            </w:pPr>
            <w:r>
              <w:rPr>
                <w:rFonts w:hint="eastAsia" w:ascii="宋体" w:hAnsi="宋体" w:cs="宋体"/>
                <w:spacing w:val="4"/>
                <w:kern w:val="0"/>
                <w:sz w:val="20"/>
                <w:szCs w:val="20"/>
              </w:rPr>
              <w:t>经初步审查和详细评审后，评审小组对各合作伙伴的综合得分由高到低进行排序；综合得分相同时，依次按技术、报价评分优先排序。推荐第一名为业务合作伙伴推荐商。如中选合作伙伴主动提出弃权，可直接重新招标。</w:t>
            </w:r>
          </w:p>
        </w:tc>
      </w:tr>
    </w:tbl>
    <w:p w14:paraId="56F2D692">
      <w:pPr>
        <w:rPr>
          <w:rFonts w:ascii="宋体" w:hAnsi="宋体"/>
          <w:szCs w:val="21"/>
        </w:rPr>
      </w:pPr>
      <w:bookmarkStart w:id="187" w:name="_Toc478565714"/>
      <w:bookmarkStart w:id="188" w:name="_Toc474148033"/>
      <w:bookmarkStart w:id="189" w:name="_Toc105770534"/>
      <w:bookmarkStart w:id="190" w:name="_Toc478566435"/>
      <w:bookmarkStart w:id="191" w:name="_Toc478566269"/>
      <w:bookmarkStart w:id="192" w:name="_Toc478566077"/>
      <w:r>
        <w:rPr>
          <w:rFonts w:hint="eastAsia" w:ascii="宋体" w:hAnsi="宋体"/>
          <w:szCs w:val="21"/>
        </w:rPr>
        <w:br w:type="page"/>
      </w:r>
    </w:p>
    <w:p w14:paraId="48224931">
      <w:pPr>
        <w:pStyle w:val="7"/>
        <w:snapToGrid w:val="0"/>
        <w:spacing w:line="360" w:lineRule="auto"/>
        <w:rPr>
          <w:rFonts w:ascii="宋体" w:hAnsi="宋体" w:eastAsia="宋体"/>
          <w:sz w:val="21"/>
          <w:szCs w:val="21"/>
        </w:rPr>
      </w:pPr>
      <w:bookmarkStart w:id="193" w:name="_Toc546"/>
      <w:r>
        <w:rPr>
          <w:rFonts w:hint="eastAsia" w:ascii="宋体" w:hAnsi="宋体" w:eastAsia="宋体"/>
          <w:sz w:val="21"/>
          <w:szCs w:val="21"/>
        </w:rPr>
        <w:t>评审方法</w:t>
      </w:r>
      <w:bookmarkEnd w:id="187"/>
      <w:bookmarkEnd w:id="188"/>
      <w:bookmarkEnd w:id="189"/>
      <w:bookmarkEnd w:id="190"/>
      <w:bookmarkEnd w:id="191"/>
      <w:bookmarkEnd w:id="192"/>
      <w:bookmarkEnd w:id="193"/>
    </w:p>
    <w:p w14:paraId="3B97CDEB">
      <w:pPr>
        <w:pStyle w:val="70"/>
        <w:snapToGrid w:val="0"/>
        <w:ind w:firstLine="420"/>
        <w:rPr>
          <w:rFonts w:ascii="宋体" w:hAnsi="宋体"/>
          <w:sz w:val="21"/>
        </w:rPr>
      </w:pPr>
      <w:r>
        <w:rPr>
          <w:rFonts w:hint="eastAsia" w:ascii="宋体" w:hAnsi="宋体"/>
          <w:sz w:val="21"/>
        </w:rPr>
        <w:t>本招标项目评审采用综合评估法。评审委员会对满足招标文件实质要求的应答文件，根据本章第</w:t>
      </w:r>
      <w:r>
        <w:rPr>
          <w:rFonts w:ascii="宋体" w:hAnsi="宋体"/>
          <w:sz w:val="21"/>
        </w:rPr>
        <w:t>5</w:t>
      </w:r>
      <w:r>
        <w:rPr>
          <w:rFonts w:hint="eastAsia" w:ascii="宋体" w:hAnsi="宋体"/>
          <w:sz w:val="21"/>
        </w:rPr>
        <w:t>.2款规定的评分因素和评分标准进行评分，按照综合评分由高到低的顺序推荐中选候选人，但应答报价低于其成本的除外。</w:t>
      </w:r>
    </w:p>
    <w:p w14:paraId="6F326FB9">
      <w:pPr>
        <w:pStyle w:val="7"/>
        <w:snapToGrid w:val="0"/>
        <w:spacing w:line="360" w:lineRule="auto"/>
        <w:rPr>
          <w:rFonts w:ascii="宋体" w:hAnsi="宋体" w:eastAsia="宋体"/>
          <w:sz w:val="21"/>
          <w:szCs w:val="21"/>
        </w:rPr>
      </w:pPr>
      <w:bookmarkStart w:id="194" w:name="_Toc478566270"/>
      <w:bookmarkStart w:id="195" w:name="_Toc474148034"/>
      <w:bookmarkStart w:id="196" w:name="_Toc478566436"/>
      <w:bookmarkStart w:id="197" w:name="_Toc105770535"/>
      <w:bookmarkStart w:id="198" w:name="_Toc478566078"/>
      <w:bookmarkStart w:id="199" w:name="_Toc478565715"/>
      <w:bookmarkStart w:id="200" w:name="_Toc8491"/>
      <w:r>
        <w:rPr>
          <w:rFonts w:hint="eastAsia" w:ascii="宋体" w:hAnsi="宋体" w:eastAsia="宋体"/>
          <w:sz w:val="21"/>
          <w:szCs w:val="21"/>
        </w:rPr>
        <w:t>评审标准</w:t>
      </w:r>
      <w:bookmarkEnd w:id="194"/>
      <w:bookmarkEnd w:id="195"/>
      <w:bookmarkEnd w:id="196"/>
      <w:bookmarkEnd w:id="197"/>
      <w:bookmarkEnd w:id="198"/>
      <w:bookmarkEnd w:id="199"/>
      <w:bookmarkEnd w:id="200"/>
    </w:p>
    <w:p w14:paraId="5338308B">
      <w:pPr>
        <w:pStyle w:val="70"/>
        <w:snapToGrid w:val="0"/>
        <w:ind w:firstLine="0" w:firstLineChars="0"/>
        <w:rPr>
          <w:rFonts w:ascii="宋体" w:hAnsi="宋体"/>
          <w:sz w:val="21"/>
        </w:rPr>
      </w:pPr>
      <w:r>
        <w:rPr>
          <w:rFonts w:hint="eastAsia" w:ascii="宋体" w:hAnsi="宋体"/>
          <w:sz w:val="21"/>
        </w:rPr>
        <w:t>5.2.1初步评审标</w:t>
      </w:r>
    </w:p>
    <w:p w14:paraId="1C002155">
      <w:pPr>
        <w:pStyle w:val="70"/>
        <w:snapToGrid w:val="0"/>
        <w:ind w:firstLine="420"/>
        <w:rPr>
          <w:rFonts w:ascii="宋体" w:hAnsi="宋体"/>
          <w:sz w:val="21"/>
        </w:rPr>
      </w:pPr>
      <w:r>
        <w:rPr>
          <w:rFonts w:hint="eastAsia" w:ascii="宋体" w:hAnsi="宋体"/>
          <w:sz w:val="21"/>
        </w:rPr>
        <w:t>初步评审标准：见评审办法前附表。</w:t>
      </w:r>
      <w:bookmarkStart w:id="201" w:name="_Toc478566272"/>
      <w:bookmarkStart w:id="202" w:name="_Toc478566438"/>
      <w:bookmarkStart w:id="203" w:name="_Toc478566080"/>
      <w:bookmarkStart w:id="204" w:name="_Toc474148036"/>
      <w:bookmarkStart w:id="205" w:name="_Toc478565717"/>
    </w:p>
    <w:p w14:paraId="6E83500B">
      <w:pPr>
        <w:pStyle w:val="70"/>
        <w:snapToGrid w:val="0"/>
        <w:ind w:firstLine="0" w:firstLineChars="0"/>
        <w:rPr>
          <w:rFonts w:ascii="宋体" w:hAnsi="宋体"/>
          <w:sz w:val="21"/>
        </w:rPr>
      </w:pPr>
      <w:r>
        <w:rPr>
          <w:rFonts w:ascii="宋体" w:hAnsi="宋体"/>
          <w:sz w:val="21"/>
        </w:rPr>
        <w:t xml:space="preserve">5.2.2 </w:t>
      </w:r>
      <w:r>
        <w:rPr>
          <w:rFonts w:hint="eastAsia" w:ascii="宋体" w:hAnsi="宋体"/>
          <w:sz w:val="21"/>
        </w:rPr>
        <w:t>详细评审标准</w:t>
      </w:r>
      <w:bookmarkEnd w:id="201"/>
      <w:bookmarkEnd w:id="202"/>
      <w:bookmarkEnd w:id="203"/>
      <w:bookmarkEnd w:id="204"/>
      <w:bookmarkEnd w:id="205"/>
    </w:p>
    <w:p w14:paraId="1BB77FAE">
      <w:pPr>
        <w:snapToGrid w:val="0"/>
        <w:spacing w:line="360" w:lineRule="auto"/>
        <w:ind w:firstLine="422" w:firstLineChars="201"/>
        <w:rPr>
          <w:rFonts w:ascii="宋体" w:hAnsi="宋体"/>
          <w:color w:val="000000"/>
          <w:szCs w:val="21"/>
        </w:rPr>
      </w:pPr>
      <w:r>
        <w:rPr>
          <w:rFonts w:hint="eastAsia" w:ascii="宋体" w:hAnsi="宋体"/>
          <w:szCs w:val="21"/>
        </w:rPr>
        <w:t xml:space="preserve">5.2.2.1 </w:t>
      </w:r>
      <w:r>
        <w:rPr>
          <w:rFonts w:ascii="宋体" w:hAnsi="宋体"/>
          <w:color w:val="000000"/>
          <w:szCs w:val="21"/>
        </w:rPr>
        <w:t>评审时，以</w:t>
      </w:r>
      <w:r>
        <w:rPr>
          <w:rFonts w:hint="eastAsia" w:ascii="宋体" w:hAnsi="宋体"/>
          <w:color w:val="000000"/>
          <w:szCs w:val="21"/>
        </w:rPr>
        <w:t>招标文件</w:t>
      </w:r>
      <w:r>
        <w:rPr>
          <w:rFonts w:ascii="宋体" w:hAnsi="宋体"/>
          <w:color w:val="000000"/>
          <w:szCs w:val="21"/>
        </w:rPr>
        <w:t>指定的报价方式为依据计算基础价。</w:t>
      </w:r>
    </w:p>
    <w:p w14:paraId="46F27C12">
      <w:pPr>
        <w:snapToGrid w:val="0"/>
        <w:spacing w:line="360" w:lineRule="auto"/>
        <w:ind w:firstLine="422" w:firstLineChars="201"/>
        <w:rPr>
          <w:rFonts w:ascii="宋体" w:hAnsi="宋体"/>
          <w:color w:val="000000"/>
          <w:szCs w:val="21"/>
        </w:rPr>
      </w:pPr>
      <w:r>
        <w:rPr>
          <w:rFonts w:ascii="宋体" w:hAnsi="宋体"/>
          <w:color w:val="000000"/>
          <w:szCs w:val="21"/>
        </w:rPr>
        <w:t>5.2.2.2</w:t>
      </w:r>
      <w:r>
        <w:rPr>
          <w:rFonts w:hint="eastAsia" w:ascii="宋体" w:hAnsi="宋体"/>
          <w:color w:val="000000"/>
          <w:szCs w:val="21"/>
        </w:rPr>
        <w:t>增值税税率调整评审方法按以下三种情况进行价格调整：</w:t>
      </w:r>
    </w:p>
    <w:p w14:paraId="5A3FD6E5">
      <w:pPr>
        <w:pStyle w:val="51"/>
        <w:snapToGrid w:val="0"/>
        <w:spacing w:line="360" w:lineRule="auto"/>
        <w:ind w:firstLine="422" w:firstLineChars="201"/>
        <w:rPr>
          <w:rFonts w:ascii="宋体" w:hAnsi="宋体"/>
          <w:szCs w:val="21"/>
        </w:rPr>
      </w:pPr>
      <w:r>
        <w:rPr>
          <w:rFonts w:hint="eastAsia" w:ascii="宋体" w:hAnsi="宋体"/>
          <w:szCs w:val="21"/>
        </w:rPr>
        <w:t>（1）供应商报价税率相同：直接以供应商不含税报价进行比价；</w:t>
      </w:r>
    </w:p>
    <w:p w14:paraId="3DC4E85D">
      <w:pPr>
        <w:pStyle w:val="51"/>
        <w:snapToGrid w:val="0"/>
        <w:spacing w:line="360" w:lineRule="auto"/>
        <w:ind w:firstLine="422" w:firstLineChars="201"/>
        <w:rPr>
          <w:rFonts w:ascii="宋体" w:hAnsi="宋体"/>
          <w:szCs w:val="21"/>
        </w:rPr>
      </w:pPr>
      <w:r>
        <w:rPr>
          <w:rFonts w:hint="eastAsia" w:ascii="宋体" w:hAnsi="宋体"/>
          <w:szCs w:val="21"/>
        </w:rPr>
        <w:t>（2）各供应商报价税率存在差异：应按照如下方法对报价进行调整，该供应商的评审价格=该供应商不含税价格*（1+[max(所有供应商税率)-该供应商税率]*12%）</w:t>
      </w:r>
    </w:p>
    <w:p w14:paraId="713D886B">
      <w:pPr>
        <w:pStyle w:val="51"/>
        <w:snapToGrid w:val="0"/>
        <w:spacing w:line="360" w:lineRule="auto"/>
        <w:ind w:firstLine="422" w:firstLineChars="201"/>
        <w:rPr>
          <w:rFonts w:ascii="宋体" w:hAnsi="宋体"/>
          <w:szCs w:val="21"/>
        </w:rPr>
      </w:pPr>
      <w:r>
        <w:rPr>
          <w:rFonts w:hint="eastAsia" w:ascii="宋体" w:hAnsi="宋体"/>
          <w:szCs w:val="21"/>
        </w:rPr>
        <w:t>（3）同一供应商分项报价存在多个税率时：评审价格=分项1的该供应商不含税价格*（1+[max(所有供应商的货物/服务税率)-该供应商税率]*12%）+分项2的该供应商不含税价格*（1+[max(所有供应商的货物/服务税率)-该供应商税率]*12%）+</w:t>
      </w:r>
      <w:r>
        <w:rPr>
          <w:rFonts w:ascii="宋体" w:hAnsi="宋体"/>
          <w:szCs w:val="21"/>
        </w:rPr>
        <w:t>…</w:t>
      </w:r>
      <w:r>
        <w:rPr>
          <w:rFonts w:hint="eastAsia" w:ascii="宋体" w:hAnsi="宋体"/>
          <w:szCs w:val="21"/>
        </w:rPr>
        <w:t>+分项n的该供应商不含税价格*（1+[max(所有供应商的货物/服务税率)-该供应商税率]*12%）。</w:t>
      </w:r>
    </w:p>
    <w:p w14:paraId="464675A4">
      <w:pPr>
        <w:pStyle w:val="70"/>
        <w:snapToGrid w:val="0"/>
        <w:ind w:firstLine="422" w:firstLineChars="201"/>
        <w:rPr>
          <w:rFonts w:ascii="宋体" w:hAnsi="宋体"/>
          <w:sz w:val="21"/>
        </w:rPr>
      </w:pPr>
      <w:r>
        <w:rPr>
          <w:rFonts w:hint="eastAsia" w:ascii="宋体" w:hAnsi="宋体"/>
          <w:sz w:val="21"/>
        </w:rPr>
        <w:t>5.2.2.</w:t>
      </w:r>
      <w:r>
        <w:rPr>
          <w:rFonts w:ascii="宋体" w:hAnsi="宋体"/>
          <w:sz w:val="21"/>
        </w:rPr>
        <w:t>3</w:t>
      </w:r>
      <w:r>
        <w:rPr>
          <w:rFonts w:hint="eastAsia" w:ascii="宋体" w:hAnsi="宋体"/>
          <w:sz w:val="21"/>
        </w:rPr>
        <w:t>详细评审标准：见评审办法前附表。</w:t>
      </w:r>
    </w:p>
    <w:p w14:paraId="6B9859F9">
      <w:pPr>
        <w:pStyle w:val="7"/>
        <w:snapToGrid w:val="0"/>
        <w:spacing w:line="360" w:lineRule="auto"/>
        <w:rPr>
          <w:rFonts w:ascii="宋体" w:hAnsi="宋体" w:eastAsia="宋体"/>
          <w:sz w:val="21"/>
          <w:szCs w:val="21"/>
        </w:rPr>
      </w:pPr>
      <w:bookmarkStart w:id="206" w:name="_Toc105770536"/>
      <w:bookmarkStart w:id="207" w:name="_Toc13217"/>
      <w:bookmarkStart w:id="208" w:name="_Toc478566273"/>
      <w:bookmarkStart w:id="209" w:name="_Toc478566081"/>
      <w:bookmarkStart w:id="210" w:name="_Toc478566439"/>
      <w:bookmarkStart w:id="211" w:name="_Toc474148037"/>
      <w:bookmarkStart w:id="212" w:name="_Toc478565718"/>
      <w:r>
        <w:rPr>
          <w:rFonts w:hint="eastAsia" w:ascii="宋体" w:hAnsi="宋体" w:eastAsia="宋体"/>
          <w:sz w:val="21"/>
          <w:szCs w:val="21"/>
        </w:rPr>
        <w:t>评审程序</w:t>
      </w:r>
      <w:bookmarkEnd w:id="206"/>
      <w:bookmarkEnd w:id="207"/>
      <w:bookmarkEnd w:id="208"/>
      <w:bookmarkEnd w:id="209"/>
      <w:bookmarkEnd w:id="210"/>
      <w:bookmarkEnd w:id="211"/>
      <w:bookmarkEnd w:id="212"/>
    </w:p>
    <w:p w14:paraId="7021B113">
      <w:pPr>
        <w:snapToGrid w:val="0"/>
        <w:spacing w:line="360" w:lineRule="auto"/>
        <w:rPr>
          <w:rFonts w:ascii="宋体" w:hAnsi="宋体"/>
          <w:b/>
          <w:szCs w:val="21"/>
        </w:rPr>
      </w:pPr>
      <w:r>
        <w:rPr>
          <w:rFonts w:hint="eastAsia" w:ascii="宋体" w:hAnsi="宋体"/>
          <w:b/>
          <w:szCs w:val="21"/>
        </w:rPr>
        <w:t>5.3.1初步评审</w:t>
      </w:r>
    </w:p>
    <w:p w14:paraId="5AD1923E">
      <w:pPr>
        <w:snapToGrid w:val="0"/>
        <w:spacing w:line="360" w:lineRule="auto"/>
        <w:ind w:firstLine="420" w:firstLineChars="200"/>
        <w:rPr>
          <w:rFonts w:ascii="宋体" w:hAnsi="宋体"/>
          <w:kern w:val="0"/>
          <w:szCs w:val="21"/>
        </w:rPr>
      </w:pPr>
      <w:r>
        <w:rPr>
          <w:rFonts w:ascii="宋体" w:hAnsi="宋体"/>
          <w:szCs w:val="21"/>
        </w:rPr>
        <w:t>5.3.1.1</w:t>
      </w:r>
      <w:r>
        <w:rPr>
          <w:rFonts w:hint="eastAsia" w:ascii="宋体" w:hAnsi="宋体"/>
          <w:szCs w:val="21"/>
        </w:rPr>
        <w:t xml:space="preserve">  评审委员会根据本章第5.2.1款规定的标准对应答文件进行初步评审。对全部应答文件进行初步评审，检查应答文件是否完全满足招标文件要求。初步评审分为形式审查、响应性审查和资格审查</w:t>
      </w:r>
      <w:r>
        <w:rPr>
          <w:rFonts w:ascii="宋体" w:hAnsi="宋体"/>
          <w:szCs w:val="21"/>
        </w:rPr>
        <w:t>。</w:t>
      </w:r>
      <w:r>
        <w:rPr>
          <w:rFonts w:hint="eastAsia" w:ascii="宋体" w:hAnsi="宋体"/>
          <w:szCs w:val="21"/>
        </w:rPr>
        <w:t>初步评审中有一项不符合评审标准的，将做否决应答处理。</w:t>
      </w:r>
    </w:p>
    <w:p w14:paraId="6351FD14">
      <w:pPr>
        <w:pStyle w:val="70"/>
        <w:snapToGrid w:val="0"/>
        <w:ind w:firstLine="420"/>
        <w:rPr>
          <w:rFonts w:ascii="宋体" w:hAnsi="宋体"/>
          <w:sz w:val="21"/>
        </w:rPr>
      </w:pPr>
      <w:r>
        <w:rPr>
          <w:rFonts w:ascii="宋体" w:hAnsi="宋体"/>
          <w:sz w:val="21"/>
        </w:rPr>
        <w:t>5.3.1.2</w:t>
      </w:r>
      <w:r>
        <w:rPr>
          <w:rFonts w:hint="eastAsia" w:ascii="宋体" w:hAnsi="宋体"/>
          <w:sz w:val="21"/>
        </w:rPr>
        <w:t>应答人有以下情形之一的，评审委员会应当否决其应答：</w:t>
      </w:r>
    </w:p>
    <w:p w14:paraId="21EA3F30">
      <w:pPr>
        <w:pStyle w:val="70"/>
        <w:numPr>
          <w:ilvl w:val="0"/>
          <w:numId w:val="28"/>
        </w:numPr>
        <w:snapToGrid w:val="0"/>
        <w:ind w:left="0" w:firstLine="420"/>
        <w:rPr>
          <w:rFonts w:ascii="宋体" w:hAnsi="宋体"/>
          <w:sz w:val="21"/>
        </w:rPr>
      </w:pPr>
      <w:r>
        <w:rPr>
          <w:rFonts w:hint="eastAsia" w:ascii="宋体" w:hAnsi="宋体"/>
          <w:sz w:val="21"/>
        </w:rPr>
        <w:t>不按照评审委员会要求澄清、说明或者补正；</w:t>
      </w:r>
    </w:p>
    <w:p w14:paraId="559A0B02">
      <w:pPr>
        <w:pStyle w:val="70"/>
        <w:numPr>
          <w:ilvl w:val="0"/>
          <w:numId w:val="28"/>
        </w:numPr>
        <w:snapToGrid w:val="0"/>
        <w:ind w:left="0" w:firstLine="420"/>
        <w:rPr>
          <w:rFonts w:ascii="宋体" w:hAnsi="宋体"/>
          <w:sz w:val="21"/>
        </w:rPr>
      </w:pPr>
      <w:r>
        <w:rPr>
          <w:rFonts w:hint="eastAsia" w:ascii="宋体" w:hAnsi="宋体"/>
          <w:sz w:val="21"/>
        </w:rPr>
        <w:t>应答文件未经应答单位盖章和单位负责人签字；</w:t>
      </w:r>
    </w:p>
    <w:p w14:paraId="2F15568E">
      <w:pPr>
        <w:pStyle w:val="70"/>
        <w:numPr>
          <w:ilvl w:val="0"/>
          <w:numId w:val="28"/>
        </w:numPr>
        <w:snapToGrid w:val="0"/>
        <w:ind w:left="0" w:firstLine="420"/>
        <w:rPr>
          <w:rFonts w:ascii="宋体" w:hAnsi="宋体"/>
          <w:sz w:val="21"/>
        </w:rPr>
      </w:pPr>
      <w:r>
        <w:rPr>
          <w:rFonts w:hint="eastAsia" w:ascii="宋体" w:hAnsi="宋体"/>
          <w:sz w:val="21"/>
        </w:rPr>
        <w:t>允许联合体应答的，应答联合体没有递交共同应答协议；</w:t>
      </w:r>
    </w:p>
    <w:p w14:paraId="4C7F9B02">
      <w:pPr>
        <w:pStyle w:val="70"/>
        <w:numPr>
          <w:ilvl w:val="0"/>
          <w:numId w:val="28"/>
        </w:numPr>
        <w:snapToGrid w:val="0"/>
        <w:ind w:left="0" w:firstLine="420"/>
        <w:rPr>
          <w:rFonts w:ascii="宋体" w:hAnsi="宋体"/>
          <w:sz w:val="21"/>
        </w:rPr>
      </w:pPr>
      <w:r>
        <w:rPr>
          <w:rFonts w:hint="eastAsia" w:ascii="宋体" w:hAnsi="宋体"/>
          <w:sz w:val="21"/>
        </w:rPr>
        <w:t>应答人不符合国家或者招标文件规定的资格条件；</w:t>
      </w:r>
    </w:p>
    <w:p w14:paraId="611C4FC3">
      <w:pPr>
        <w:pStyle w:val="70"/>
        <w:numPr>
          <w:ilvl w:val="0"/>
          <w:numId w:val="28"/>
        </w:numPr>
        <w:snapToGrid w:val="0"/>
        <w:ind w:left="0" w:firstLine="420"/>
        <w:rPr>
          <w:rFonts w:ascii="宋体" w:hAnsi="宋体"/>
          <w:sz w:val="21"/>
        </w:rPr>
      </w:pPr>
      <w:r>
        <w:rPr>
          <w:rFonts w:hint="eastAsia" w:ascii="宋体" w:hAnsi="宋体"/>
          <w:sz w:val="21"/>
        </w:rPr>
        <w:t>同一应答人递交两个以上不同的应答文件或者应答报价，但招标文件要求递交备选应答的除外；</w:t>
      </w:r>
    </w:p>
    <w:p w14:paraId="41718E00">
      <w:pPr>
        <w:pStyle w:val="70"/>
        <w:numPr>
          <w:ilvl w:val="0"/>
          <w:numId w:val="28"/>
        </w:numPr>
        <w:snapToGrid w:val="0"/>
        <w:ind w:left="0" w:firstLine="420"/>
        <w:rPr>
          <w:rFonts w:ascii="宋体" w:hAnsi="宋体"/>
          <w:sz w:val="21"/>
        </w:rPr>
      </w:pPr>
      <w:r>
        <w:rPr>
          <w:rFonts w:hint="eastAsia" w:ascii="宋体" w:hAnsi="宋体"/>
          <w:sz w:val="21"/>
        </w:rPr>
        <w:t>应答报价低于成本或者高于招标文件设定的最高应答限价；</w:t>
      </w:r>
    </w:p>
    <w:p w14:paraId="00ED837D">
      <w:pPr>
        <w:pStyle w:val="70"/>
        <w:numPr>
          <w:ilvl w:val="0"/>
          <w:numId w:val="28"/>
        </w:numPr>
        <w:snapToGrid w:val="0"/>
        <w:ind w:left="0" w:firstLine="420"/>
        <w:rPr>
          <w:rFonts w:ascii="宋体" w:hAnsi="宋体"/>
          <w:sz w:val="21"/>
        </w:rPr>
      </w:pPr>
      <w:r>
        <w:rPr>
          <w:rFonts w:hint="eastAsia" w:ascii="宋体" w:hAnsi="宋体"/>
          <w:sz w:val="21"/>
        </w:rPr>
        <w:t>应答文件没有对招标文件的实质性要求和条件做出响应；</w:t>
      </w:r>
    </w:p>
    <w:p w14:paraId="32B9F911">
      <w:pPr>
        <w:pStyle w:val="70"/>
        <w:numPr>
          <w:ilvl w:val="0"/>
          <w:numId w:val="28"/>
        </w:numPr>
        <w:snapToGrid w:val="0"/>
        <w:ind w:left="0" w:firstLine="420"/>
        <w:rPr>
          <w:rFonts w:ascii="宋体" w:hAnsi="宋体"/>
          <w:sz w:val="21"/>
        </w:rPr>
      </w:pPr>
      <w:r>
        <w:rPr>
          <w:rFonts w:hint="eastAsia" w:ascii="宋体" w:hAnsi="宋体"/>
          <w:sz w:val="21"/>
        </w:rPr>
        <w:t>应答人有串通应答、弄虚作假、行贿等违法行为；</w:t>
      </w:r>
    </w:p>
    <w:p w14:paraId="56C4D0C6">
      <w:pPr>
        <w:pStyle w:val="70"/>
        <w:numPr>
          <w:ilvl w:val="0"/>
          <w:numId w:val="28"/>
        </w:numPr>
        <w:snapToGrid w:val="0"/>
        <w:ind w:left="0" w:firstLine="420"/>
        <w:rPr>
          <w:rFonts w:ascii="宋体" w:hAnsi="宋体"/>
          <w:sz w:val="21"/>
        </w:rPr>
      </w:pPr>
      <w:r>
        <w:rPr>
          <w:rFonts w:hint="eastAsia" w:ascii="宋体" w:hAnsi="宋体"/>
          <w:sz w:val="21"/>
        </w:rPr>
        <w:t>应答人以他人名义应答；</w:t>
      </w:r>
    </w:p>
    <w:p w14:paraId="0719EFBE">
      <w:pPr>
        <w:pStyle w:val="70"/>
        <w:numPr>
          <w:ilvl w:val="0"/>
          <w:numId w:val="28"/>
        </w:numPr>
        <w:snapToGrid w:val="0"/>
        <w:ind w:left="0" w:firstLine="420"/>
        <w:rPr>
          <w:rFonts w:ascii="宋体" w:hAnsi="宋体"/>
          <w:sz w:val="21"/>
        </w:rPr>
      </w:pPr>
      <w:r>
        <w:rPr>
          <w:rFonts w:hint="eastAsia" w:ascii="宋体" w:hAnsi="宋体"/>
          <w:sz w:val="21"/>
        </w:rPr>
        <w:t>没有按照招标文件要求提供应答担保或者所提供的应答担保有瑕疵；</w:t>
      </w:r>
    </w:p>
    <w:p w14:paraId="3D0D1BE5">
      <w:pPr>
        <w:pStyle w:val="70"/>
        <w:numPr>
          <w:ilvl w:val="0"/>
          <w:numId w:val="28"/>
        </w:numPr>
        <w:snapToGrid w:val="0"/>
        <w:ind w:left="0" w:firstLine="420"/>
        <w:rPr>
          <w:rFonts w:ascii="宋体" w:hAnsi="宋体"/>
          <w:sz w:val="21"/>
        </w:rPr>
      </w:pPr>
      <w:r>
        <w:rPr>
          <w:rFonts w:hint="eastAsia" w:ascii="宋体" w:hAnsi="宋体"/>
          <w:sz w:val="21"/>
        </w:rPr>
        <w:t>应答文件载明的招标项目完成期限超过招标文件规定的期限；</w:t>
      </w:r>
    </w:p>
    <w:p w14:paraId="6FBDAE03">
      <w:pPr>
        <w:pStyle w:val="70"/>
        <w:numPr>
          <w:ilvl w:val="0"/>
          <w:numId w:val="28"/>
        </w:numPr>
        <w:snapToGrid w:val="0"/>
        <w:ind w:left="0" w:firstLine="420"/>
        <w:rPr>
          <w:rFonts w:ascii="宋体" w:hAnsi="宋体"/>
          <w:sz w:val="21"/>
        </w:rPr>
      </w:pPr>
      <w:r>
        <w:rPr>
          <w:rFonts w:hint="eastAsia" w:ascii="宋体" w:hAnsi="宋体"/>
          <w:sz w:val="21"/>
        </w:rPr>
        <w:t>明显不符合技术规格、技术标准的要求；</w:t>
      </w:r>
    </w:p>
    <w:p w14:paraId="32F5B372">
      <w:pPr>
        <w:pStyle w:val="70"/>
        <w:numPr>
          <w:ilvl w:val="0"/>
          <w:numId w:val="28"/>
        </w:numPr>
        <w:snapToGrid w:val="0"/>
        <w:ind w:left="0" w:firstLine="420"/>
        <w:rPr>
          <w:rFonts w:ascii="宋体" w:hAnsi="宋体"/>
          <w:sz w:val="21"/>
        </w:rPr>
      </w:pPr>
      <w:r>
        <w:rPr>
          <w:rFonts w:hint="eastAsia" w:ascii="宋体" w:hAnsi="宋体"/>
          <w:sz w:val="21"/>
        </w:rPr>
        <w:t>应答文件载明的货物包装方式、检验标准和方法等不符合招标文件的要求；</w:t>
      </w:r>
    </w:p>
    <w:p w14:paraId="3D0F732D">
      <w:pPr>
        <w:pStyle w:val="70"/>
        <w:numPr>
          <w:ilvl w:val="0"/>
          <w:numId w:val="28"/>
        </w:numPr>
        <w:snapToGrid w:val="0"/>
        <w:ind w:left="0" w:firstLine="420"/>
        <w:rPr>
          <w:rFonts w:ascii="宋体" w:hAnsi="宋体"/>
          <w:sz w:val="21"/>
        </w:rPr>
      </w:pPr>
      <w:r>
        <w:rPr>
          <w:rFonts w:hint="eastAsia" w:ascii="宋体" w:hAnsi="宋体"/>
          <w:sz w:val="21"/>
        </w:rPr>
        <w:t>应答文件附有招标人不能接受的条件；</w:t>
      </w:r>
    </w:p>
    <w:p w14:paraId="0603AD62">
      <w:pPr>
        <w:pStyle w:val="70"/>
        <w:numPr>
          <w:ilvl w:val="0"/>
          <w:numId w:val="28"/>
        </w:numPr>
        <w:snapToGrid w:val="0"/>
        <w:ind w:left="0" w:firstLine="420"/>
        <w:rPr>
          <w:rFonts w:ascii="宋体" w:hAnsi="宋体"/>
          <w:sz w:val="21"/>
        </w:rPr>
      </w:pPr>
      <w:r>
        <w:rPr>
          <w:rFonts w:hint="eastAsia" w:ascii="宋体" w:hAnsi="宋体"/>
          <w:sz w:val="21"/>
        </w:rPr>
        <w:t>不符合招标文件中规定的其他实质性要求。</w:t>
      </w:r>
    </w:p>
    <w:p w14:paraId="768804AA">
      <w:pPr>
        <w:pStyle w:val="70"/>
        <w:snapToGrid w:val="0"/>
        <w:ind w:firstLine="420"/>
        <w:rPr>
          <w:rFonts w:ascii="宋体" w:hAnsi="宋体"/>
          <w:sz w:val="21"/>
        </w:rPr>
      </w:pPr>
      <w:r>
        <w:rPr>
          <w:rFonts w:ascii="宋体" w:hAnsi="宋体"/>
          <w:sz w:val="21"/>
        </w:rPr>
        <w:t>5.</w:t>
      </w:r>
      <w:r>
        <w:rPr>
          <w:rFonts w:hint="eastAsia" w:ascii="宋体" w:hAnsi="宋体"/>
          <w:sz w:val="21"/>
        </w:rPr>
        <w:t>3.1.3  评审过程中，评审委员会收到低于成本价应答的书面质疑材料、发现应答人的综合报价明显低于其他应答报价或者设有标底时明显低于标底，认为应答报价可能低于其个别成本的，应当书面要求该应答人做出书面说明并提供相关证明材料。应答人不能合理说明或者不能提供相应证明材料的，由评审委员会认定该应答人以低于成本报价应答，评审委员会应当否决其应答。</w:t>
      </w:r>
    </w:p>
    <w:p w14:paraId="696BC1EC">
      <w:pPr>
        <w:pStyle w:val="70"/>
        <w:snapToGrid w:val="0"/>
        <w:ind w:firstLine="420"/>
        <w:rPr>
          <w:rFonts w:ascii="宋体" w:hAnsi="宋体"/>
          <w:sz w:val="21"/>
        </w:rPr>
      </w:pPr>
      <w:r>
        <w:rPr>
          <w:rFonts w:ascii="宋体" w:hAnsi="宋体"/>
          <w:sz w:val="21"/>
        </w:rPr>
        <w:t>5.</w:t>
      </w:r>
      <w:r>
        <w:rPr>
          <w:rFonts w:hint="eastAsia" w:ascii="宋体" w:hAnsi="宋体"/>
          <w:sz w:val="21"/>
        </w:rPr>
        <w:t>3.1.4  应答报价有算术错误的，评审委员会按照以下原则对应答报价进行修正，修正的价格经应答人书面确认后具有约束力。</w:t>
      </w:r>
    </w:p>
    <w:p w14:paraId="23EC0D77">
      <w:pPr>
        <w:pStyle w:val="70"/>
        <w:snapToGrid w:val="0"/>
        <w:ind w:firstLine="400"/>
        <w:rPr>
          <w:rFonts w:ascii="宋体" w:hAnsi="宋体" w:cs="宋体"/>
          <w:sz w:val="20"/>
          <w:szCs w:val="20"/>
        </w:rPr>
      </w:pPr>
      <w:r>
        <w:rPr>
          <w:rFonts w:hint="eastAsia" w:ascii="宋体" w:hAnsi="宋体" w:cs="宋体"/>
          <w:sz w:val="20"/>
          <w:szCs w:val="20"/>
        </w:rPr>
        <w:t>（1）公开唱价时以扬州北辰电气集团有限公司填写的价格为准，公开唱价的报价与上传至扬州北辰电气集团有限公司的应答报价一览表中报价不一致的，以系统公开唱价的报价为准。</w:t>
      </w:r>
    </w:p>
    <w:p w14:paraId="35D3BCFF">
      <w:pPr>
        <w:pStyle w:val="70"/>
        <w:snapToGrid w:val="0"/>
        <w:ind w:firstLine="400"/>
        <w:rPr>
          <w:rFonts w:ascii="宋体" w:hAnsi="宋体" w:cs="宋体"/>
          <w:sz w:val="20"/>
          <w:szCs w:val="20"/>
        </w:rPr>
      </w:pPr>
      <w:r>
        <w:rPr>
          <w:rFonts w:hint="eastAsia" w:ascii="宋体" w:hAnsi="宋体" w:cs="宋体"/>
          <w:sz w:val="20"/>
          <w:szCs w:val="20"/>
        </w:rPr>
        <w:t>（2）应答文件中对同一报价的不含税价和含税价存在计算错误的，以不含税价格修改含税价；但不含税价金额小数点有明显错位的，以含税总价为准，并修改不含税价。</w:t>
      </w:r>
    </w:p>
    <w:p w14:paraId="58BB283B">
      <w:pPr>
        <w:pStyle w:val="70"/>
        <w:snapToGrid w:val="0"/>
        <w:ind w:firstLine="400"/>
        <w:rPr>
          <w:rFonts w:ascii="宋体" w:hAnsi="宋体" w:cs="宋体"/>
          <w:sz w:val="20"/>
          <w:szCs w:val="20"/>
        </w:rPr>
      </w:pPr>
      <w:r>
        <w:rPr>
          <w:rFonts w:hint="eastAsia" w:ascii="宋体" w:hAnsi="宋体" w:cs="宋体"/>
          <w:sz w:val="20"/>
          <w:szCs w:val="20"/>
        </w:rPr>
        <w:t>（3）扬州北辰电气集团有限公司公开唱价的内容与应答文件应答报价一览表中相应内容不一致的，以已唱价的内容（不含税价、含税价、税率）为准，并对未唱价的相应内容进行修订；</w:t>
      </w:r>
    </w:p>
    <w:p w14:paraId="17B12E9A">
      <w:pPr>
        <w:pStyle w:val="70"/>
        <w:snapToGrid w:val="0"/>
        <w:ind w:firstLine="400"/>
        <w:rPr>
          <w:rFonts w:ascii="宋体" w:hAnsi="宋体" w:cs="宋体"/>
          <w:sz w:val="20"/>
          <w:szCs w:val="20"/>
        </w:rPr>
      </w:pPr>
      <w:r>
        <w:rPr>
          <w:rFonts w:hint="eastAsia" w:ascii="宋体" w:hAnsi="宋体" w:cs="宋体"/>
          <w:sz w:val="20"/>
          <w:szCs w:val="20"/>
        </w:rPr>
        <w:t>（4）大写金额和小写金额不一致的，以大写金额为准；</w:t>
      </w:r>
    </w:p>
    <w:p w14:paraId="328FF9D3">
      <w:pPr>
        <w:pStyle w:val="70"/>
        <w:snapToGrid w:val="0"/>
        <w:ind w:firstLine="400"/>
        <w:rPr>
          <w:rFonts w:ascii="宋体" w:hAnsi="宋体" w:cs="宋体"/>
          <w:sz w:val="20"/>
          <w:szCs w:val="20"/>
        </w:rPr>
      </w:pPr>
      <w:r>
        <w:rPr>
          <w:rFonts w:hint="eastAsia" w:ascii="宋体" w:hAnsi="宋体" w:cs="宋体"/>
          <w:sz w:val="20"/>
          <w:szCs w:val="20"/>
        </w:rPr>
        <w:t>（5）扬州北辰电气集团有限公司公开唱价总价金额与按单价汇总金额不一致的，以单价金额计算结果为准；但单价金额小数点或者百分比有明显错位的，以扬州北辰电气集团有限公司公开唱价的总价为准，并修改单价。</w:t>
      </w:r>
    </w:p>
    <w:p w14:paraId="1B88A808">
      <w:pPr>
        <w:pStyle w:val="70"/>
        <w:snapToGrid w:val="0"/>
        <w:ind w:firstLine="400"/>
        <w:rPr>
          <w:rFonts w:ascii="宋体" w:hAnsi="宋体"/>
          <w:sz w:val="21"/>
        </w:rPr>
      </w:pPr>
      <w:r>
        <w:rPr>
          <w:rFonts w:hint="eastAsia" w:ascii="宋体" w:hAnsi="宋体" w:cs="宋体"/>
          <w:sz w:val="20"/>
          <w:szCs w:val="20"/>
        </w:rPr>
        <w:t>如果应答人不接受对其错误的更正，其应答无效</w:t>
      </w:r>
      <w:r>
        <w:rPr>
          <w:rFonts w:hint="eastAsia" w:ascii="宋体" w:hAnsi="宋体"/>
          <w:sz w:val="21"/>
        </w:rPr>
        <w:t>。</w:t>
      </w:r>
    </w:p>
    <w:p w14:paraId="6DD0DDC3">
      <w:pPr>
        <w:pStyle w:val="70"/>
        <w:snapToGrid w:val="0"/>
        <w:ind w:firstLine="0" w:firstLineChars="0"/>
        <w:rPr>
          <w:rFonts w:ascii="宋体" w:hAnsi="宋体"/>
          <w:b/>
          <w:color w:val="000000"/>
          <w:sz w:val="21"/>
        </w:rPr>
      </w:pPr>
      <w:r>
        <w:rPr>
          <w:rFonts w:hint="eastAsia" w:ascii="宋体" w:hAnsi="宋体"/>
          <w:b/>
          <w:color w:val="000000"/>
          <w:sz w:val="21"/>
        </w:rPr>
        <w:t>5.3.2详细评审</w:t>
      </w:r>
    </w:p>
    <w:p w14:paraId="4C842D3B">
      <w:pPr>
        <w:pStyle w:val="70"/>
        <w:snapToGrid w:val="0"/>
        <w:ind w:firstLine="420"/>
        <w:rPr>
          <w:rFonts w:ascii="宋体" w:hAnsi="宋体"/>
          <w:sz w:val="21"/>
        </w:rPr>
      </w:pPr>
      <w:r>
        <w:rPr>
          <w:rFonts w:ascii="宋体" w:hAnsi="宋体"/>
          <w:sz w:val="21"/>
        </w:rPr>
        <w:t>5.</w:t>
      </w:r>
      <w:r>
        <w:rPr>
          <w:rFonts w:hint="eastAsia" w:ascii="宋体" w:hAnsi="宋体"/>
          <w:sz w:val="21"/>
        </w:rPr>
        <w:t>3.2.1  评审委员会按照本章第5.2.2款规定的评审因素和量化标准进行评分，并计算出综合评估得分。</w:t>
      </w:r>
    </w:p>
    <w:p w14:paraId="333E43E0">
      <w:pPr>
        <w:pStyle w:val="70"/>
        <w:snapToGrid w:val="0"/>
        <w:ind w:firstLine="420"/>
        <w:rPr>
          <w:rFonts w:ascii="宋体" w:hAnsi="宋体"/>
          <w:sz w:val="21"/>
        </w:rPr>
      </w:pPr>
      <w:r>
        <w:rPr>
          <w:rFonts w:ascii="宋体" w:hAnsi="宋体"/>
          <w:sz w:val="21"/>
        </w:rPr>
        <w:t>5.</w:t>
      </w:r>
      <w:r>
        <w:rPr>
          <w:rFonts w:hint="eastAsia" w:ascii="宋体" w:hAnsi="宋体"/>
          <w:sz w:val="21"/>
        </w:rPr>
        <w:t>3.2.2  评分分值计算原则上保留小数点后两位，小数点后第三位“四舍五入”。另有规定的，见评审办法前附表。</w:t>
      </w:r>
    </w:p>
    <w:p w14:paraId="5858CC29">
      <w:pPr>
        <w:pStyle w:val="70"/>
        <w:snapToGrid w:val="0"/>
        <w:ind w:firstLine="0" w:firstLineChars="0"/>
        <w:rPr>
          <w:rFonts w:ascii="宋体" w:hAnsi="宋体"/>
          <w:b/>
          <w:sz w:val="21"/>
        </w:rPr>
      </w:pPr>
      <w:r>
        <w:rPr>
          <w:rFonts w:hint="eastAsia" w:ascii="宋体" w:hAnsi="宋体"/>
          <w:b/>
          <w:sz w:val="21"/>
        </w:rPr>
        <w:t>5.3.3应答文件的澄清</w:t>
      </w:r>
    </w:p>
    <w:p w14:paraId="0D680174">
      <w:pPr>
        <w:pStyle w:val="70"/>
        <w:snapToGrid w:val="0"/>
        <w:ind w:firstLine="420"/>
        <w:rPr>
          <w:rFonts w:ascii="宋体" w:hAnsi="宋体"/>
          <w:sz w:val="21"/>
        </w:rPr>
      </w:pPr>
      <w:r>
        <w:rPr>
          <w:rFonts w:ascii="宋体" w:hAnsi="宋体"/>
          <w:sz w:val="21"/>
        </w:rPr>
        <w:t>5.</w:t>
      </w:r>
      <w:r>
        <w:rPr>
          <w:rFonts w:hint="eastAsia" w:ascii="宋体" w:hAnsi="宋体"/>
          <w:sz w:val="21"/>
        </w:rPr>
        <w:t>3.3.1  在评审过程中，评审委员会应当以书面形式要求应答人对所递交的应答文件中不明确的内容进行书面澄清、说明或者对应答文件中的细微偏差进行补正。评审委员会不接受应答人主动提出的澄清、说明或者补正。</w:t>
      </w:r>
    </w:p>
    <w:p w14:paraId="360F38E5">
      <w:pPr>
        <w:pStyle w:val="70"/>
        <w:snapToGrid w:val="0"/>
        <w:ind w:firstLine="420"/>
        <w:rPr>
          <w:rFonts w:ascii="宋体" w:hAnsi="宋体"/>
          <w:sz w:val="21"/>
        </w:rPr>
      </w:pPr>
      <w:r>
        <w:rPr>
          <w:rFonts w:ascii="宋体" w:hAnsi="宋体"/>
          <w:sz w:val="21"/>
        </w:rPr>
        <w:t>5.</w:t>
      </w:r>
      <w:r>
        <w:rPr>
          <w:rFonts w:hint="eastAsia" w:ascii="宋体" w:hAnsi="宋体"/>
          <w:sz w:val="21"/>
        </w:rPr>
        <w:t>3.3.2  细微偏差：是指应答文件在实质上响应招标文件要求，但个别地方存在漏项或者提供了不完整的技术信息和数据等情况，并且补正这些遗漏或者不完整不会对其他应答人造成不公平的结果。细微偏差不影响应答文件的有效性。</w:t>
      </w:r>
    </w:p>
    <w:p w14:paraId="6A65858C">
      <w:pPr>
        <w:pStyle w:val="70"/>
        <w:snapToGrid w:val="0"/>
        <w:ind w:firstLine="420"/>
        <w:rPr>
          <w:rFonts w:ascii="宋体" w:hAnsi="宋体"/>
          <w:sz w:val="21"/>
        </w:rPr>
      </w:pPr>
      <w:r>
        <w:rPr>
          <w:rFonts w:ascii="宋体" w:hAnsi="宋体"/>
          <w:sz w:val="21"/>
        </w:rPr>
        <w:t>5.</w:t>
      </w:r>
      <w:r>
        <w:rPr>
          <w:rFonts w:hint="eastAsia" w:ascii="宋体" w:hAnsi="宋体"/>
          <w:sz w:val="21"/>
        </w:rPr>
        <w:t>3.3.3  澄清、说明和补正不得改变应答文件的实质性内容（算术性错误修正的除外）。应答人的书面澄清、说明和补正属于应答文件的组成部分。</w:t>
      </w:r>
    </w:p>
    <w:p w14:paraId="476E9B77">
      <w:pPr>
        <w:pStyle w:val="70"/>
        <w:snapToGrid w:val="0"/>
        <w:ind w:firstLine="420"/>
        <w:rPr>
          <w:rFonts w:ascii="宋体" w:hAnsi="宋体"/>
          <w:sz w:val="21"/>
        </w:rPr>
      </w:pPr>
      <w:r>
        <w:rPr>
          <w:rFonts w:ascii="宋体" w:hAnsi="宋体"/>
          <w:sz w:val="21"/>
        </w:rPr>
        <w:t>5.</w:t>
      </w:r>
      <w:r>
        <w:rPr>
          <w:rFonts w:hint="eastAsia" w:ascii="宋体" w:hAnsi="宋体"/>
          <w:sz w:val="21"/>
        </w:rPr>
        <w:t>3.3.4  评审委员会对应答人递交的澄清、说明或者补正有疑问的，可以要求应答人进一步澄清、说明或者补正，直至满足评审委员会的要求。</w:t>
      </w:r>
    </w:p>
    <w:p w14:paraId="4C8D72A0">
      <w:pPr>
        <w:pStyle w:val="70"/>
        <w:snapToGrid w:val="0"/>
        <w:ind w:firstLine="420"/>
        <w:rPr>
          <w:rFonts w:ascii="宋体" w:hAnsi="宋体"/>
          <w:sz w:val="21"/>
        </w:rPr>
      </w:pPr>
      <w:r>
        <w:rPr>
          <w:rFonts w:ascii="宋体" w:hAnsi="宋体"/>
          <w:sz w:val="21"/>
        </w:rPr>
        <w:t>5.</w:t>
      </w:r>
      <w:r>
        <w:rPr>
          <w:rFonts w:hint="eastAsia" w:ascii="宋体" w:hAnsi="宋体"/>
          <w:sz w:val="21"/>
        </w:rPr>
        <w:t>3.3.5  评审委员会必要时可以要求应答人递交有关证明和证件的原件，以便核验。</w:t>
      </w:r>
      <w:bookmarkStart w:id="213" w:name="_Toc474148041"/>
      <w:bookmarkStart w:id="214" w:name="_Toc478565722"/>
      <w:bookmarkStart w:id="215" w:name="_Toc478566085"/>
      <w:bookmarkStart w:id="216" w:name="_Toc478566277"/>
      <w:bookmarkStart w:id="217" w:name="_Toc478566443"/>
    </w:p>
    <w:p w14:paraId="15053CEE">
      <w:pPr>
        <w:pStyle w:val="70"/>
        <w:snapToGrid w:val="0"/>
        <w:ind w:firstLine="0" w:firstLineChars="0"/>
        <w:rPr>
          <w:rFonts w:ascii="宋体" w:hAnsi="宋体"/>
          <w:sz w:val="21"/>
        </w:rPr>
      </w:pPr>
      <w:r>
        <w:rPr>
          <w:rFonts w:ascii="宋体" w:hAnsi="宋体"/>
          <w:sz w:val="21"/>
        </w:rPr>
        <w:t>5.3.4</w:t>
      </w:r>
      <w:r>
        <w:rPr>
          <w:rFonts w:hint="eastAsia" w:ascii="宋体" w:hAnsi="宋体"/>
          <w:b/>
          <w:sz w:val="21"/>
        </w:rPr>
        <w:t>中选候选人推荐原则</w:t>
      </w:r>
      <w:bookmarkEnd w:id="213"/>
      <w:bookmarkEnd w:id="214"/>
      <w:bookmarkEnd w:id="215"/>
      <w:bookmarkEnd w:id="216"/>
      <w:bookmarkEnd w:id="217"/>
    </w:p>
    <w:p w14:paraId="5F4C686B">
      <w:pPr>
        <w:pStyle w:val="70"/>
        <w:snapToGrid w:val="0"/>
        <w:ind w:firstLine="420"/>
        <w:rPr>
          <w:rFonts w:ascii="宋体" w:hAnsi="宋体"/>
          <w:sz w:val="21"/>
        </w:rPr>
      </w:pPr>
      <w:r>
        <w:rPr>
          <w:rFonts w:ascii="宋体" w:hAnsi="宋体"/>
          <w:sz w:val="21"/>
        </w:rPr>
        <w:t>5.</w:t>
      </w:r>
      <w:r>
        <w:rPr>
          <w:rFonts w:hint="eastAsia" w:ascii="宋体" w:hAnsi="宋体"/>
          <w:sz w:val="21"/>
        </w:rPr>
        <w:t>3.4.1  评审委员会按照综合评分由高到低的顺序推荐中选候选人。综合评分相同的，处理原则见评审办法前附表。</w:t>
      </w:r>
    </w:p>
    <w:p w14:paraId="1E71046F">
      <w:pPr>
        <w:pStyle w:val="70"/>
        <w:snapToGrid w:val="0"/>
        <w:ind w:firstLine="420"/>
        <w:rPr>
          <w:rFonts w:ascii="宋体" w:hAnsi="宋体"/>
          <w:sz w:val="21"/>
        </w:rPr>
      </w:pPr>
      <w:r>
        <w:rPr>
          <w:rFonts w:ascii="宋体" w:hAnsi="宋体"/>
          <w:sz w:val="21"/>
        </w:rPr>
        <w:t>5.</w:t>
      </w:r>
      <w:r>
        <w:rPr>
          <w:rFonts w:hint="eastAsia" w:ascii="宋体" w:hAnsi="宋体"/>
          <w:sz w:val="21"/>
        </w:rPr>
        <w:t>3.4.2  中选候选人推荐原则见评审办法前附表。</w:t>
      </w:r>
    </w:p>
    <w:p w14:paraId="7D1D59EC">
      <w:pPr>
        <w:pStyle w:val="70"/>
        <w:snapToGrid w:val="0"/>
        <w:ind w:firstLine="0" w:firstLineChars="0"/>
        <w:rPr>
          <w:rFonts w:ascii="宋体" w:hAnsi="宋体"/>
          <w:b/>
          <w:sz w:val="21"/>
        </w:rPr>
      </w:pPr>
      <w:r>
        <w:rPr>
          <w:rFonts w:hint="eastAsia" w:ascii="宋体" w:hAnsi="宋体"/>
          <w:b/>
          <w:sz w:val="21"/>
        </w:rPr>
        <w:t>5.3.5评审结果</w:t>
      </w:r>
    </w:p>
    <w:p w14:paraId="070248F4">
      <w:pPr>
        <w:pStyle w:val="70"/>
        <w:snapToGrid w:val="0"/>
        <w:ind w:firstLine="420"/>
        <w:rPr>
          <w:rFonts w:ascii="宋体" w:hAnsi="宋体"/>
          <w:sz w:val="21"/>
        </w:rPr>
      </w:pPr>
      <w:r>
        <w:rPr>
          <w:rFonts w:ascii="宋体" w:hAnsi="宋体"/>
          <w:sz w:val="21"/>
        </w:rPr>
        <w:t>5.</w:t>
      </w:r>
      <w:r>
        <w:rPr>
          <w:rFonts w:hint="eastAsia" w:ascii="宋体" w:hAnsi="宋体"/>
          <w:sz w:val="21"/>
        </w:rPr>
        <w:t>3.5.1  评审委员会完成评审后，应当向招标人递交书面评审报告。评审委员会分组评审的，应当形成统一、完整的评审报告。</w:t>
      </w:r>
    </w:p>
    <w:p w14:paraId="2CEA6C60">
      <w:pPr>
        <w:pStyle w:val="70"/>
        <w:snapToGrid w:val="0"/>
        <w:ind w:firstLine="420"/>
        <w:rPr>
          <w:rFonts w:ascii="宋体" w:hAnsi="宋体"/>
          <w:sz w:val="21"/>
        </w:rPr>
      </w:pPr>
      <w:r>
        <w:rPr>
          <w:rFonts w:ascii="宋体" w:hAnsi="宋体"/>
          <w:sz w:val="21"/>
        </w:rPr>
        <w:t>5.</w:t>
      </w:r>
      <w:r>
        <w:rPr>
          <w:rFonts w:hint="eastAsia" w:ascii="宋体" w:hAnsi="宋体"/>
          <w:sz w:val="21"/>
        </w:rPr>
        <w:t>3.5.2  评审报告应当包括下列内容：</w:t>
      </w:r>
    </w:p>
    <w:p w14:paraId="1F06FD45">
      <w:pPr>
        <w:pStyle w:val="70"/>
        <w:snapToGrid w:val="0"/>
        <w:ind w:firstLine="420"/>
        <w:rPr>
          <w:rFonts w:ascii="宋体" w:hAnsi="宋体"/>
          <w:sz w:val="21"/>
        </w:rPr>
      </w:pPr>
      <w:r>
        <w:rPr>
          <w:rFonts w:hint="eastAsia" w:ascii="宋体" w:hAnsi="宋体"/>
          <w:sz w:val="21"/>
        </w:rPr>
        <w:t>（1）基本情况；</w:t>
      </w:r>
    </w:p>
    <w:p w14:paraId="1FBFB657">
      <w:pPr>
        <w:pStyle w:val="70"/>
        <w:snapToGrid w:val="0"/>
        <w:ind w:firstLine="420"/>
        <w:rPr>
          <w:rFonts w:ascii="宋体" w:hAnsi="宋体"/>
          <w:sz w:val="21"/>
        </w:rPr>
      </w:pPr>
      <w:r>
        <w:rPr>
          <w:rFonts w:hint="eastAsia" w:ascii="宋体" w:hAnsi="宋体"/>
          <w:sz w:val="21"/>
        </w:rPr>
        <w:t>（2）唱价记录表；</w:t>
      </w:r>
    </w:p>
    <w:p w14:paraId="63AD33DB">
      <w:pPr>
        <w:pStyle w:val="70"/>
        <w:snapToGrid w:val="0"/>
        <w:ind w:firstLine="420"/>
        <w:rPr>
          <w:rFonts w:ascii="宋体" w:hAnsi="宋体"/>
          <w:sz w:val="21"/>
        </w:rPr>
      </w:pPr>
      <w:r>
        <w:rPr>
          <w:rFonts w:hint="eastAsia" w:ascii="宋体" w:hAnsi="宋体"/>
          <w:sz w:val="21"/>
        </w:rPr>
        <w:t>（3）评审方法；</w:t>
      </w:r>
    </w:p>
    <w:p w14:paraId="3A407E25">
      <w:pPr>
        <w:pStyle w:val="70"/>
        <w:snapToGrid w:val="0"/>
        <w:ind w:firstLine="420"/>
        <w:rPr>
          <w:rFonts w:ascii="宋体" w:hAnsi="宋体"/>
          <w:sz w:val="21"/>
        </w:rPr>
      </w:pPr>
      <w:r>
        <w:rPr>
          <w:rFonts w:hint="eastAsia" w:ascii="宋体" w:hAnsi="宋体"/>
          <w:sz w:val="21"/>
        </w:rPr>
        <w:t>（4）评审专家评分原始记录表和否决应答的情况说明；</w:t>
      </w:r>
    </w:p>
    <w:p w14:paraId="12917452">
      <w:pPr>
        <w:pStyle w:val="70"/>
        <w:snapToGrid w:val="0"/>
        <w:ind w:firstLine="420"/>
        <w:rPr>
          <w:rFonts w:ascii="宋体" w:hAnsi="宋体"/>
          <w:sz w:val="21"/>
        </w:rPr>
      </w:pPr>
      <w:r>
        <w:rPr>
          <w:rFonts w:hint="eastAsia" w:ascii="宋体" w:hAnsi="宋体"/>
          <w:sz w:val="21"/>
        </w:rPr>
        <w:t>（5）经评审的价格或者评分比较一览表和应答人排序；</w:t>
      </w:r>
    </w:p>
    <w:p w14:paraId="75A1F9D2">
      <w:pPr>
        <w:pStyle w:val="70"/>
        <w:snapToGrid w:val="0"/>
        <w:ind w:firstLine="420"/>
        <w:rPr>
          <w:rFonts w:ascii="宋体" w:hAnsi="宋体"/>
          <w:sz w:val="21"/>
        </w:rPr>
      </w:pPr>
      <w:r>
        <w:rPr>
          <w:rFonts w:hint="eastAsia" w:ascii="宋体" w:hAnsi="宋体"/>
          <w:sz w:val="21"/>
        </w:rPr>
        <w:t>（6）推荐的中选候选人名单及其排序；</w:t>
      </w:r>
    </w:p>
    <w:p w14:paraId="3EE2CED2">
      <w:pPr>
        <w:pStyle w:val="70"/>
        <w:snapToGrid w:val="0"/>
        <w:ind w:firstLine="420"/>
        <w:rPr>
          <w:rFonts w:ascii="宋体" w:hAnsi="宋体"/>
          <w:sz w:val="21"/>
        </w:rPr>
      </w:pPr>
      <w:r>
        <w:rPr>
          <w:rFonts w:hint="eastAsia" w:ascii="宋体" w:hAnsi="宋体"/>
          <w:sz w:val="21"/>
        </w:rPr>
        <w:t>（7）签订合同前要处理的事宜；</w:t>
      </w:r>
    </w:p>
    <w:p w14:paraId="6F1A6030">
      <w:pPr>
        <w:pStyle w:val="70"/>
        <w:snapToGrid w:val="0"/>
        <w:ind w:firstLine="420"/>
        <w:rPr>
          <w:rFonts w:ascii="宋体" w:hAnsi="宋体"/>
          <w:sz w:val="21"/>
        </w:rPr>
      </w:pPr>
      <w:r>
        <w:rPr>
          <w:rFonts w:hint="eastAsia" w:ascii="宋体" w:hAnsi="宋体"/>
          <w:sz w:val="21"/>
        </w:rPr>
        <w:t>（8）澄清、说明、补正事项纪要；</w:t>
      </w:r>
    </w:p>
    <w:p w14:paraId="43725A80">
      <w:pPr>
        <w:pStyle w:val="70"/>
        <w:snapToGrid w:val="0"/>
        <w:ind w:firstLine="420"/>
        <w:rPr>
          <w:rFonts w:ascii="宋体" w:hAnsi="宋体"/>
          <w:sz w:val="21"/>
        </w:rPr>
      </w:pPr>
      <w:r>
        <w:rPr>
          <w:rFonts w:hint="eastAsia" w:ascii="宋体" w:hAnsi="宋体"/>
          <w:sz w:val="21"/>
        </w:rPr>
        <w:t>（9）评审委员会成员名单及本人签字、拒绝在评审报告上签字的评审委员会成员名单及其陈述的不同意见和理由。</w:t>
      </w:r>
    </w:p>
    <w:p w14:paraId="30BC7DF7">
      <w:pPr>
        <w:pStyle w:val="7"/>
        <w:snapToGrid w:val="0"/>
        <w:spacing w:line="360" w:lineRule="auto"/>
        <w:rPr>
          <w:rFonts w:ascii="宋体" w:hAnsi="宋体" w:eastAsia="宋体"/>
          <w:sz w:val="21"/>
          <w:szCs w:val="21"/>
        </w:rPr>
      </w:pPr>
      <w:bookmarkStart w:id="218" w:name="_Toc105770537"/>
      <w:bookmarkStart w:id="219" w:name="_Toc7297"/>
      <w:r>
        <w:rPr>
          <w:rFonts w:hint="eastAsia" w:ascii="宋体" w:hAnsi="宋体" w:eastAsia="宋体"/>
          <w:sz w:val="21"/>
          <w:szCs w:val="21"/>
        </w:rPr>
        <w:t>中选</w:t>
      </w:r>
      <w:bookmarkEnd w:id="218"/>
      <w:bookmarkEnd w:id="219"/>
    </w:p>
    <w:p w14:paraId="41697499">
      <w:pPr>
        <w:snapToGrid w:val="0"/>
        <w:spacing w:line="360" w:lineRule="auto"/>
        <w:rPr>
          <w:rFonts w:ascii="宋体" w:hAnsi="宋体"/>
          <w:szCs w:val="21"/>
        </w:rPr>
      </w:pPr>
      <w:r>
        <w:rPr>
          <w:rFonts w:hint="eastAsia" w:ascii="宋体" w:hAnsi="宋体"/>
          <w:szCs w:val="21"/>
        </w:rPr>
        <w:t>中选人数量、份额及相关要求详见应答人须知</w:t>
      </w:r>
      <w:r>
        <w:rPr>
          <w:rFonts w:ascii="宋体" w:hAnsi="宋体"/>
          <w:szCs w:val="21"/>
        </w:rPr>
        <w:t>前附表</w:t>
      </w:r>
      <w:r>
        <w:rPr>
          <w:rFonts w:hint="eastAsia" w:ascii="宋体" w:hAnsi="宋体"/>
          <w:szCs w:val="21"/>
        </w:rPr>
        <w:t>。</w:t>
      </w:r>
    </w:p>
    <w:p w14:paraId="6FAD06DF">
      <w:pPr>
        <w:snapToGrid w:val="0"/>
        <w:spacing w:line="360" w:lineRule="auto"/>
        <w:rPr>
          <w:rFonts w:ascii="宋体" w:hAnsi="宋体"/>
          <w:szCs w:val="21"/>
        </w:rPr>
      </w:pPr>
    </w:p>
    <w:p w14:paraId="3772798D">
      <w:pPr>
        <w:widowControl/>
        <w:snapToGrid w:val="0"/>
        <w:spacing w:line="360" w:lineRule="auto"/>
        <w:jc w:val="left"/>
        <w:rPr>
          <w:rFonts w:ascii="宋体" w:hAnsi="宋体"/>
          <w:bCs/>
          <w:kern w:val="44"/>
          <w:szCs w:val="21"/>
        </w:rPr>
      </w:pPr>
      <w:bookmarkStart w:id="220" w:name="_Toc227057965"/>
      <w:bookmarkStart w:id="221" w:name="_Toc107822557"/>
      <w:bookmarkStart w:id="222" w:name="_Toc226969359"/>
      <w:r>
        <w:rPr>
          <w:rFonts w:ascii="宋体" w:hAnsi="宋体"/>
          <w:szCs w:val="21"/>
        </w:rPr>
        <w:br w:type="page"/>
      </w:r>
    </w:p>
    <w:p w14:paraId="7BF8B752">
      <w:pPr>
        <w:pStyle w:val="6"/>
        <w:snapToGrid w:val="0"/>
        <w:spacing w:line="360" w:lineRule="auto"/>
        <w:rPr>
          <w:rFonts w:ascii="宋体" w:hAnsi="宋体" w:eastAsia="宋体"/>
          <w:b/>
          <w:sz w:val="21"/>
          <w:szCs w:val="21"/>
        </w:rPr>
      </w:pPr>
      <w:bookmarkStart w:id="223" w:name="_Toc105770538"/>
      <w:bookmarkStart w:id="224" w:name="_Toc29767"/>
      <w:r>
        <w:rPr>
          <w:rFonts w:hint="eastAsia" w:ascii="宋体" w:hAnsi="宋体" w:eastAsia="宋体"/>
          <w:b/>
          <w:sz w:val="21"/>
          <w:szCs w:val="21"/>
        </w:rPr>
        <w:t>应答文件格式</w:t>
      </w:r>
      <w:bookmarkEnd w:id="220"/>
      <w:bookmarkEnd w:id="221"/>
      <w:bookmarkEnd w:id="222"/>
      <w:bookmarkEnd w:id="223"/>
      <w:bookmarkEnd w:id="224"/>
    </w:p>
    <w:p w14:paraId="0322C3F7">
      <w:pPr>
        <w:snapToGrid w:val="0"/>
        <w:spacing w:line="360" w:lineRule="auto"/>
        <w:rPr>
          <w:rFonts w:ascii="宋体" w:hAnsi="宋体"/>
          <w:b/>
          <w:szCs w:val="21"/>
        </w:rPr>
      </w:pPr>
      <w:bookmarkStart w:id="225" w:name="_Toc400976718"/>
      <w:bookmarkStart w:id="226" w:name="_Toc396814296"/>
      <w:bookmarkStart w:id="227" w:name="_Toc373770187"/>
      <w:r>
        <w:rPr>
          <w:rFonts w:hint="eastAsia" w:ascii="宋体" w:hAnsi="宋体"/>
          <w:b/>
          <w:bCs/>
          <w:szCs w:val="21"/>
        </w:rPr>
        <w:t>应答文件</w:t>
      </w:r>
      <w:r>
        <w:rPr>
          <w:rFonts w:ascii="宋体" w:hAnsi="宋体"/>
          <w:b/>
          <w:bCs/>
          <w:szCs w:val="21"/>
        </w:rPr>
        <w:t>密封</w:t>
      </w:r>
      <w:r>
        <w:rPr>
          <w:rFonts w:hint="eastAsia" w:ascii="宋体" w:hAnsi="宋体"/>
          <w:b/>
          <w:bCs/>
          <w:szCs w:val="21"/>
        </w:rPr>
        <w:t>件</w:t>
      </w:r>
      <w:r>
        <w:rPr>
          <w:rFonts w:ascii="宋体" w:hAnsi="宋体"/>
          <w:b/>
          <w:bCs/>
          <w:szCs w:val="21"/>
        </w:rPr>
        <w:t>封套格式：</w:t>
      </w:r>
      <w:bookmarkEnd w:id="225"/>
      <w:bookmarkEnd w:id="226"/>
      <w:bookmarkEnd w:id="227"/>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14:paraId="2FC1A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20" w:type="dxa"/>
          </w:tcPr>
          <w:p w14:paraId="21A7D530">
            <w:pPr>
              <w:snapToGrid w:val="0"/>
              <w:spacing w:beforeLines="50" w:afterLines="100" w:line="360" w:lineRule="auto"/>
              <w:jc w:val="center"/>
              <w:rPr>
                <w:rFonts w:ascii="宋体" w:hAnsi="宋体"/>
                <w:szCs w:val="21"/>
              </w:rPr>
            </w:pPr>
            <w:r>
              <w:rPr>
                <w:rFonts w:ascii="宋体" w:hAnsi="宋体"/>
                <w:szCs w:val="21"/>
                <w:u w:val="single"/>
              </w:rPr>
              <w:t xml:space="preserve">       </w:t>
            </w:r>
            <w:r>
              <w:rPr>
                <w:rFonts w:ascii="宋体" w:hAnsi="宋体"/>
                <w:szCs w:val="21"/>
              </w:rPr>
              <w:t>（项目名称</w:t>
            </w:r>
            <w:r>
              <w:rPr>
                <w:rFonts w:hint="eastAsia" w:ascii="宋体" w:hAnsi="宋体"/>
                <w:szCs w:val="21"/>
              </w:rPr>
              <w:t>）</w:t>
            </w:r>
          </w:p>
          <w:p w14:paraId="2A09F0C4">
            <w:pPr>
              <w:snapToGrid w:val="0"/>
              <w:spacing w:beforeLines="50" w:afterLines="100" w:line="360" w:lineRule="auto"/>
              <w:jc w:val="center"/>
              <w:rPr>
                <w:rFonts w:ascii="宋体" w:hAnsi="宋体"/>
                <w:szCs w:val="21"/>
              </w:rPr>
            </w:pPr>
            <w:r>
              <w:rPr>
                <w:rFonts w:hint="eastAsia" w:ascii="宋体" w:hAnsi="宋体"/>
                <w:szCs w:val="21"/>
              </w:rPr>
              <w:t>项目编号：</w:t>
            </w:r>
          </w:p>
          <w:p w14:paraId="66E293FC">
            <w:pPr>
              <w:snapToGrid w:val="0"/>
              <w:spacing w:beforeLines="450" w:afterLines="150" w:line="360" w:lineRule="auto"/>
              <w:jc w:val="center"/>
              <w:rPr>
                <w:rFonts w:ascii="宋体" w:hAnsi="宋体"/>
                <w:szCs w:val="21"/>
              </w:rPr>
            </w:pPr>
            <w:r>
              <w:rPr>
                <w:rFonts w:ascii="宋体" w:hAnsi="宋体"/>
                <w:szCs w:val="21"/>
              </w:rPr>
              <w:t>应答文件</w:t>
            </w:r>
          </w:p>
          <w:p w14:paraId="0737B409">
            <w:pPr>
              <w:snapToGrid w:val="0"/>
              <w:spacing w:afterLines="150" w:line="360" w:lineRule="auto"/>
              <w:jc w:val="center"/>
              <w:rPr>
                <w:rFonts w:ascii="宋体" w:hAnsi="宋体"/>
                <w:szCs w:val="21"/>
              </w:rPr>
            </w:pPr>
            <w:r>
              <w:rPr>
                <w:rFonts w:hint="eastAsia" w:ascii="宋体" w:hAnsi="宋体"/>
                <w:szCs w:val="21"/>
              </w:rPr>
              <w:t>（X</w:t>
            </w:r>
            <w:r>
              <w:rPr>
                <w:rFonts w:ascii="宋体" w:hAnsi="宋体"/>
                <w:szCs w:val="21"/>
              </w:rPr>
              <w:t>X</w:t>
            </w:r>
            <w:r>
              <w:rPr>
                <w:rFonts w:hint="eastAsia" w:ascii="宋体" w:hAnsi="宋体"/>
                <w:szCs w:val="21"/>
              </w:rPr>
              <w:t>分册）</w:t>
            </w:r>
          </w:p>
          <w:p w14:paraId="67E2B32B">
            <w:pPr>
              <w:snapToGrid w:val="0"/>
              <w:spacing w:beforeLines="500" w:line="360" w:lineRule="auto"/>
              <w:ind w:firstLine="2730" w:firstLineChars="1300"/>
              <w:rPr>
                <w:rFonts w:ascii="宋体" w:hAnsi="宋体"/>
                <w:szCs w:val="21"/>
              </w:rPr>
            </w:pPr>
            <w:r>
              <w:rPr>
                <w:rFonts w:ascii="宋体" w:hAnsi="宋体"/>
                <w:szCs w:val="21"/>
              </w:rPr>
              <w:t>应答人：</w:t>
            </w:r>
            <w:r>
              <w:rPr>
                <w:rFonts w:ascii="宋体" w:hAnsi="宋体"/>
                <w:szCs w:val="21"/>
                <w:u w:val="single"/>
              </w:rPr>
              <w:t xml:space="preserve">                         </w:t>
            </w:r>
          </w:p>
          <w:p w14:paraId="19C03216">
            <w:pPr>
              <w:snapToGrid w:val="0"/>
              <w:spacing w:afterLines="200" w:line="360" w:lineRule="auto"/>
              <w:jc w:val="center"/>
              <w:rPr>
                <w:rFonts w:ascii="宋体" w:hAnsi="宋体"/>
                <w:szCs w:val="21"/>
                <w:u w:val="single"/>
              </w:rPr>
            </w:pPr>
            <w:r>
              <w:rPr>
                <w:rFonts w:ascii="宋体" w:hAnsi="宋体"/>
                <w:szCs w:val="21"/>
              </w:rPr>
              <w:t>法定代表人或其委托的代理人：</w:t>
            </w:r>
            <w:r>
              <w:rPr>
                <w:rFonts w:ascii="宋体" w:hAnsi="宋体"/>
                <w:szCs w:val="21"/>
                <w:u w:val="single"/>
              </w:rPr>
              <w:t xml:space="preserve">         </w:t>
            </w:r>
          </w:p>
          <w:p w14:paraId="002C4EFD">
            <w:pPr>
              <w:snapToGrid w:val="0"/>
              <w:spacing w:afterLines="200" w:line="360" w:lineRule="auto"/>
              <w:jc w:val="center"/>
              <w:rPr>
                <w:rFonts w:ascii="宋体" w:hAnsi="宋体"/>
                <w:kern w:val="11"/>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tc>
      </w:tr>
    </w:tbl>
    <w:p w14:paraId="49B38333">
      <w:pPr>
        <w:snapToGrid w:val="0"/>
        <w:spacing w:line="360" w:lineRule="auto"/>
        <w:rPr>
          <w:rFonts w:ascii="宋体" w:hAnsi="宋体"/>
          <w:szCs w:val="21"/>
        </w:rPr>
      </w:pPr>
      <w:bookmarkStart w:id="228" w:name="_Toc107822558"/>
      <w:bookmarkStart w:id="229" w:name="_Toc488655907"/>
      <w:bookmarkStart w:id="230" w:name="_Toc227057966"/>
      <w:bookmarkStart w:id="231" w:name="_Toc226969360"/>
    </w:p>
    <w:p w14:paraId="21D1C9BC">
      <w:pPr>
        <w:snapToGrid w:val="0"/>
        <w:spacing w:line="360" w:lineRule="auto"/>
        <w:rPr>
          <w:rFonts w:ascii="宋体" w:hAnsi="宋体"/>
          <w:szCs w:val="21"/>
        </w:rPr>
      </w:pPr>
      <w:r>
        <w:rPr>
          <w:rFonts w:hint="eastAsia" w:ascii="宋体" w:hAnsi="宋体"/>
          <w:szCs w:val="21"/>
        </w:rPr>
        <w:t>其余</w:t>
      </w:r>
      <w:r>
        <w:rPr>
          <w:rFonts w:ascii="宋体" w:hAnsi="宋体"/>
          <w:szCs w:val="21"/>
        </w:rPr>
        <w:t>文件格式</w:t>
      </w:r>
      <w:r>
        <w:rPr>
          <w:rFonts w:hint="eastAsia" w:ascii="宋体" w:hAnsi="宋体"/>
          <w:szCs w:val="21"/>
        </w:rPr>
        <w:t>具体见招标文件附件：《应答文件</w:t>
      </w:r>
      <w:r>
        <w:rPr>
          <w:rFonts w:ascii="宋体" w:hAnsi="宋体"/>
          <w:szCs w:val="21"/>
        </w:rPr>
        <w:t>格式</w:t>
      </w:r>
      <w:r>
        <w:rPr>
          <w:rFonts w:hint="eastAsia" w:ascii="宋体" w:hAnsi="宋体"/>
          <w:szCs w:val="21"/>
        </w:rPr>
        <w:t>》。</w:t>
      </w:r>
      <w:bookmarkEnd w:id="228"/>
      <w:bookmarkEnd w:id="229"/>
      <w:bookmarkEnd w:id="230"/>
      <w:bookmarkEnd w:id="231"/>
    </w:p>
    <w:p w14:paraId="198CF802">
      <w:pPr>
        <w:widowControl/>
        <w:snapToGrid w:val="0"/>
        <w:spacing w:line="360" w:lineRule="auto"/>
        <w:jc w:val="left"/>
        <w:rPr>
          <w:rFonts w:ascii="宋体" w:hAnsi="宋体"/>
          <w:szCs w:val="21"/>
        </w:rPr>
      </w:pPr>
      <w:r>
        <w:rPr>
          <w:rFonts w:ascii="宋体" w:hAnsi="宋体"/>
          <w:szCs w:val="21"/>
        </w:rPr>
        <w:br w:type="page"/>
      </w:r>
    </w:p>
    <w:p w14:paraId="2A5E6A63">
      <w:pPr>
        <w:pStyle w:val="51"/>
        <w:numPr>
          <w:ilvl w:val="0"/>
          <w:numId w:val="29"/>
        </w:numPr>
        <w:snapToGrid w:val="0"/>
        <w:ind w:left="442" w:hanging="442" w:firstLineChars="0"/>
        <w:outlineLvl w:val="1"/>
        <w:rPr>
          <w:rFonts w:ascii="宋体" w:hAnsi="宋体"/>
          <w:b/>
          <w:sz w:val="32"/>
          <w:szCs w:val="32"/>
        </w:rPr>
      </w:pPr>
      <w:bookmarkStart w:id="232" w:name="_Toc19588"/>
      <w:bookmarkStart w:id="233" w:name="_Toc105770539"/>
      <w:bookmarkStart w:id="234" w:name="_Toc7217"/>
      <w:bookmarkStart w:id="235" w:name="_Toc23236"/>
      <w:r>
        <w:rPr>
          <w:rFonts w:hint="eastAsia" w:ascii="宋体" w:hAnsi="宋体"/>
          <w:b/>
          <w:sz w:val="32"/>
          <w:szCs w:val="32"/>
        </w:rPr>
        <w:t>技术分册（</w:t>
      </w:r>
      <w:r>
        <w:rPr>
          <w:rFonts w:hint="eastAsia" w:ascii="宋体" w:hAnsi="宋体"/>
          <w:b/>
          <w:color w:val="FF0000"/>
          <w:sz w:val="32"/>
          <w:szCs w:val="32"/>
        </w:rPr>
        <w:t>单独成册</w:t>
      </w:r>
      <w:r>
        <w:rPr>
          <w:rFonts w:hint="eastAsia" w:ascii="宋体" w:hAnsi="宋体"/>
          <w:b/>
          <w:sz w:val="32"/>
          <w:szCs w:val="32"/>
        </w:rPr>
        <w:t>）</w:t>
      </w:r>
      <w:bookmarkEnd w:id="232"/>
      <w:bookmarkEnd w:id="233"/>
      <w:bookmarkEnd w:id="234"/>
      <w:bookmarkEnd w:id="235"/>
    </w:p>
    <w:p w14:paraId="25C9BD2E">
      <w:pPr>
        <w:snapToGrid w:val="0"/>
        <w:spacing w:line="360" w:lineRule="auto"/>
        <w:rPr>
          <w:rFonts w:ascii="宋体" w:hAnsi="宋体"/>
          <w:b/>
          <w:szCs w:val="21"/>
        </w:rPr>
      </w:pPr>
      <w:r>
        <w:rPr>
          <w:rFonts w:hint="eastAsia" w:ascii="宋体" w:hAnsi="宋体"/>
          <w:b/>
          <w:szCs w:val="21"/>
        </w:rPr>
        <w:t>《应答文件技术分册》应包括但不限于以下内容：</w:t>
      </w:r>
    </w:p>
    <w:p w14:paraId="34E42F56">
      <w:pPr>
        <w:snapToGrid w:val="0"/>
        <w:spacing w:line="360" w:lineRule="auto"/>
        <w:outlineLvl w:val="2"/>
        <w:rPr>
          <w:rFonts w:ascii="宋体" w:hAnsi="宋体"/>
          <w:b/>
          <w:szCs w:val="21"/>
        </w:rPr>
      </w:pPr>
      <w:bookmarkStart w:id="236" w:name="_Toc9073"/>
      <w:bookmarkStart w:id="237" w:name="_Toc24514"/>
      <w:bookmarkStart w:id="238" w:name="_Toc105770540"/>
      <w:bookmarkStart w:id="239" w:name="_Toc29926"/>
      <w:r>
        <w:rPr>
          <w:rFonts w:hint="eastAsia" w:ascii="宋体" w:hAnsi="宋体"/>
          <w:b/>
          <w:szCs w:val="21"/>
        </w:rPr>
        <w:t>1、技术评分表索引</w:t>
      </w:r>
      <w:r>
        <w:rPr>
          <w:rFonts w:hint="eastAsia" w:ascii="宋体" w:hAnsi="宋体"/>
          <w:szCs w:val="21"/>
        </w:rPr>
        <w:t>（格式参见第六章附件6.</w:t>
      </w:r>
      <w:r>
        <w:rPr>
          <w:rFonts w:ascii="宋体" w:hAnsi="宋体"/>
          <w:szCs w:val="21"/>
        </w:rPr>
        <w:t>1</w:t>
      </w:r>
      <w:r>
        <w:rPr>
          <w:rFonts w:hint="eastAsia" w:ascii="宋体" w:hAnsi="宋体"/>
          <w:szCs w:val="21"/>
        </w:rPr>
        <w:t>0）（一级目录）</w:t>
      </w:r>
      <w:bookmarkEnd w:id="236"/>
      <w:bookmarkEnd w:id="237"/>
      <w:bookmarkEnd w:id="238"/>
      <w:bookmarkEnd w:id="239"/>
    </w:p>
    <w:p w14:paraId="77D4055E">
      <w:pPr>
        <w:snapToGrid w:val="0"/>
        <w:spacing w:line="360" w:lineRule="auto"/>
        <w:outlineLvl w:val="2"/>
        <w:rPr>
          <w:rFonts w:ascii="宋体" w:hAnsi="宋体"/>
          <w:b/>
          <w:szCs w:val="21"/>
        </w:rPr>
      </w:pPr>
      <w:bookmarkStart w:id="240" w:name="_Toc10919"/>
      <w:bookmarkStart w:id="241" w:name="_Toc105770541"/>
      <w:bookmarkStart w:id="242" w:name="_Toc9423"/>
      <w:bookmarkStart w:id="243" w:name="_Toc29186"/>
      <w:r>
        <w:rPr>
          <w:rFonts w:hint="eastAsia" w:ascii="宋体" w:hAnsi="宋体"/>
          <w:b/>
          <w:szCs w:val="21"/>
        </w:rPr>
        <w:t>2、技术应答文件</w:t>
      </w:r>
      <w:r>
        <w:rPr>
          <w:rFonts w:hint="eastAsia"/>
          <w:b/>
          <w:szCs w:val="21"/>
        </w:rPr>
        <w:t>（一级目录）</w:t>
      </w:r>
      <w:bookmarkEnd w:id="240"/>
      <w:bookmarkEnd w:id="241"/>
      <w:bookmarkEnd w:id="242"/>
      <w:bookmarkEnd w:id="243"/>
    </w:p>
    <w:p w14:paraId="7969E590">
      <w:pPr>
        <w:numPr>
          <w:ilvl w:val="0"/>
          <w:numId w:val="30"/>
        </w:numPr>
        <w:snapToGrid w:val="0"/>
        <w:spacing w:line="360" w:lineRule="auto"/>
        <w:rPr>
          <w:rFonts w:ascii="宋体" w:hAnsi="宋体"/>
          <w:szCs w:val="21"/>
        </w:rPr>
      </w:pPr>
      <w:r>
        <w:rPr>
          <w:rFonts w:ascii="宋体" w:hAnsi="宋体"/>
          <w:szCs w:val="21"/>
        </w:rPr>
        <w:t>技术偏离表</w:t>
      </w:r>
      <w:r>
        <w:rPr>
          <w:rFonts w:hint="eastAsia" w:ascii="宋体" w:hAnsi="宋体"/>
          <w:szCs w:val="21"/>
        </w:rPr>
        <w:t>（格式参见第六章附件6.</w:t>
      </w:r>
      <w:r>
        <w:rPr>
          <w:rFonts w:ascii="宋体" w:hAnsi="宋体"/>
          <w:szCs w:val="21"/>
        </w:rPr>
        <w:t>4</w:t>
      </w:r>
      <w:r>
        <w:rPr>
          <w:rFonts w:hint="eastAsia" w:ascii="宋体" w:hAnsi="宋体"/>
          <w:szCs w:val="21"/>
        </w:rPr>
        <w:t>，</w:t>
      </w:r>
      <w:r>
        <w:rPr>
          <w:rFonts w:hint="eastAsia" w:ascii="宋体" w:hAnsi="宋体"/>
          <w:b/>
          <w:color w:val="FF0000"/>
          <w:szCs w:val="21"/>
        </w:rPr>
        <w:t>签字并加盖公章</w:t>
      </w:r>
      <w:r>
        <w:rPr>
          <w:rFonts w:hint="eastAsia" w:ascii="宋体" w:hAnsi="宋体"/>
          <w:szCs w:val="21"/>
        </w:rPr>
        <w:t>）（二级目录）</w:t>
      </w:r>
    </w:p>
    <w:p w14:paraId="1071B1ED">
      <w:pPr>
        <w:pStyle w:val="51"/>
        <w:numPr>
          <w:ilvl w:val="0"/>
          <w:numId w:val="31"/>
        </w:numPr>
        <w:snapToGrid w:val="0"/>
        <w:spacing w:line="360" w:lineRule="auto"/>
        <w:ind w:firstLineChars="0"/>
        <w:rPr>
          <w:rFonts w:ascii="宋体" w:hAnsi="宋体"/>
          <w:szCs w:val="21"/>
        </w:rPr>
      </w:pPr>
      <w:r>
        <w:rPr>
          <w:rFonts w:hint="eastAsia" w:ascii="宋体" w:hAnsi="宋体"/>
          <w:szCs w:val="21"/>
        </w:rPr>
        <w:t>应答人应按招标文件要求给出相应的应答。</w:t>
      </w:r>
    </w:p>
    <w:p w14:paraId="4A8889A4">
      <w:pPr>
        <w:pStyle w:val="51"/>
        <w:numPr>
          <w:ilvl w:val="0"/>
          <w:numId w:val="31"/>
        </w:numPr>
        <w:snapToGrid w:val="0"/>
        <w:spacing w:line="360" w:lineRule="auto"/>
        <w:ind w:firstLineChars="0"/>
        <w:rPr>
          <w:rFonts w:ascii="宋体" w:hAnsi="宋体"/>
          <w:szCs w:val="21"/>
        </w:rPr>
      </w:pPr>
      <w:r>
        <w:rPr>
          <w:rFonts w:hint="eastAsia" w:ascii="宋体" w:hAnsi="宋体"/>
          <w:szCs w:val="21"/>
        </w:rPr>
        <w:t>如应答人提交的《技术偏离表》未填写实质性内容，则视为已接受《招标文件》中的《技术规范书》的所有条款。</w:t>
      </w:r>
    </w:p>
    <w:p w14:paraId="5E1C5C82">
      <w:pPr>
        <w:snapToGrid w:val="0"/>
        <w:spacing w:line="360" w:lineRule="auto"/>
        <w:outlineLvl w:val="2"/>
        <w:rPr>
          <w:rFonts w:ascii="宋体" w:hAnsi="宋体"/>
          <w:b/>
          <w:szCs w:val="21"/>
        </w:rPr>
      </w:pPr>
      <w:bookmarkStart w:id="244" w:name="_Toc12369"/>
      <w:bookmarkStart w:id="245" w:name="_Toc30919"/>
      <w:bookmarkStart w:id="246" w:name="_Toc29721"/>
      <w:bookmarkStart w:id="247" w:name="_Toc105770542"/>
      <w:r>
        <w:rPr>
          <w:rFonts w:hint="eastAsia" w:ascii="宋体" w:hAnsi="宋体"/>
          <w:b/>
          <w:szCs w:val="21"/>
        </w:rPr>
        <w:t>3、技术建议书</w:t>
      </w:r>
      <w:r>
        <w:rPr>
          <w:rFonts w:hint="eastAsia" w:ascii="宋体" w:hAnsi="宋体"/>
          <w:szCs w:val="21"/>
        </w:rPr>
        <w:t>（一级目录）</w:t>
      </w:r>
      <w:bookmarkEnd w:id="244"/>
      <w:bookmarkEnd w:id="245"/>
      <w:bookmarkEnd w:id="246"/>
      <w:bookmarkEnd w:id="247"/>
    </w:p>
    <w:p w14:paraId="409A9D78">
      <w:pPr>
        <w:snapToGrid w:val="0"/>
        <w:spacing w:line="360" w:lineRule="auto"/>
        <w:ind w:firstLine="420" w:firstLineChars="200"/>
        <w:rPr>
          <w:rFonts w:ascii="宋体" w:hAnsi="宋体"/>
          <w:szCs w:val="21"/>
        </w:rPr>
      </w:pPr>
      <w:r>
        <w:rPr>
          <w:rFonts w:hint="eastAsia" w:ascii="宋体" w:hAnsi="宋体"/>
          <w:szCs w:val="21"/>
        </w:rPr>
        <w:t>在</w:t>
      </w:r>
      <w:r>
        <w:rPr>
          <w:rFonts w:hint="eastAsia" w:ascii="宋体" w:hAnsi="宋体"/>
          <w:b/>
          <w:color w:val="FF0000"/>
          <w:szCs w:val="21"/>
        </w:rPr>
        <w:t>对《技术规范书》理解的基础上并结合技术评分表</w:t>
      </w:r>
      <w:r>
        <w:rPr>
          <w:rFonts w:hint="eastAsia" w:ascii="宋体" w:hAnsi="宋体"/>
          <w:szCs w:val="21"/>
        </w:rPr>
        <w:t>编写，应包含但不限于《技术规范书》中要求的内容。</w:t>
      </w:r>
    </w:p>
    <w:p w14:paraId="79469416">
      <w:pPr>
        <w:snapToGrid w:val="0"/>
        <w:spacing w:line="360" w:lineRule="auto"/>
      </w:pPr>
      <w:r>
        <w:rPr>
          <w:rFonts w:hint="eastAsia" w:ascii="宋体" w:hAnsi="宋体"/>
          <w:szCs w:val="21"/>
        </w:rPr>
        <w:t>4、招标文件第四章要求提供的其它技术应答文件（一级目录）。</w:t>
      </w:r>
    </w:p>
    <w:p w14:paraId="42499EA0">
      <w:pPr>
        <w:pStyle w:val="51"/>
        <w:numPr>
          <w:ilvl w:val="0"/>
          <w:numId w:val="29"/>
        </w:numPr>
        <w:snapToGrid w:val="0"/>
        <w:ind w:left="442" w:hanging="442" w:firstLineChars="0"/>
        <w:outlineLvl w:val="1"/>
        <w:rPr>
          <w:rFonts w:ascii="宋体" w:hAnsi="宋体"/>
          <w:b/>
          <w:sz w:val="32"/>
          <w:szCs w:val="32"/>
        </w:rPr>
      </w:pPr>
      <w:bookmarkStart w:id="248" w:name="_Toc1950"/>
      <w:bookmarkStart w:id="249" w:name="_Toc14048"/>
      <w:bookmarkStart w:id="250" w:name="_Toc6999"/>
      <w:bookmarkStart w:id="251" w:name="_Toc105770543"/>
      <w:r>
        <w:rPr>
          <w:rFonts w:hint="eastAsia" w:ascii="宋体" w:hAnsi="宋体"/>
          <w:b/>
          <w:sz w:val="32"/>
          <w:szCs w:val="32"/>
        </w:rPr>
        <w:t>商务分册（</w:t>
      </w:r>
      <w:r>
        <w:rPr>
          <w:rFonts w:hint="eastAsia" w:ascii="宋体" w:hAnsi="宋体"/>
          <w:b/>
          <w:color w:val="FF0000"/>
          <w:sz w:val="32"/>
          <w:szCs w:val="32"/>
        </w:rPr>
        <w:t>单独成册</w:t>
      </w:r>
      <w:r>
        <w:rPr>
          <w:rFonts w:hint="eastAsia" w:ascii="宋体" w:hAnsi="宋体"/>
          <w:b/>
          <w:sz w:val="32"/>
          <w:szCs w:val="32"/>
        </w:rPr>
        <w:t>）</w:t>
      </w:r>
      <w:bookmarkEnd w:id="248"/>
      <w:bookmarkEnd w:id="249"/>
      <w:bookmarkEnd w:id="250"/>
      <w:bookmarkEnd w:id="251"/>
    </w:p>
    <w:p w14:paraId="540E4AC7">
      <w:pPr>
        <w:snapToGrid w:val="0"/>
        <w:spacing w:line="360" w:lineRule="auto"/>
        <w:outlineLvl w:val="2"/>
        <w:rPr>
          <w:rFonts w:ascii="宋体" w:hAnsi="宋体"/>
          <w:b/>
          <w:szCs w:val="21"/>
        </w:rPr>
      </w:pPr>
      <w:bookmarkStart w:id="252" w:name="_Toc24637"/>
      <w:bookmarkStart w:id="253" w:name="_Toc105770544"/>
      <w:bookmarkStart w:id="254" w:name="_Toc4027"/>
      <w:bookmarkStart w:id="255" w:name="_Toc7830"/>
      <w:r>
        <w:rPr>
          <w:rFonts w:hint="eastAsia" w:ascii="宋体" w:hAnsi="宋体"/>
          <w:b/>
          <w:szCs w:val="21"/>
        </w:rPr>
        <w:t>供应商初步评审索引（格式参见第六章附件6.11）（一级目录）</w:t>
      </w:r>
      <w:bookmarkEnd w:id="252"/>
      <w:bookmarkEnd w:id="253"/>
      <w:bookmarkEnd w:id="254"/>
      <w:bookmarkEnd w:id="255"/>
    </w:p>
    <w:p w14:paraId="483DF070">
      <w:pPr>
        <w:snapToGrid w:val="0"/>
        <w:spacing w:line="360" w:lineRule="auto"/>
        <w:outlineLvl w:val="2"/>
        <w:rPr>
          <w:rFonts w:ascii="宋体" w:hAnsi="宋体"/>
          <w:b/>
          <w:szCs w:val="21"/>
        </w:rPr>
      </w:pPr>
      <w:bookmarkStart w:id="256" w:name="_Toc14311"/>
      <w:bookmarkStart w:id="257" w:name="_Toc25083"/>
      <w:bookmarkStart w:id="258" w:name="_Toc18535"/>
      <w:bookmarkStart w:id="259" w:name="_Toc105770545"/>
      <w:r>
        <w:rPr>
          <w:rFonts w:hint="eastAsia" w:ascii="宋体" w:hAnsi="宋体"/>
          <w:b/>
          <w:szCs w:val="21"/>
        </w:rPr>
        <w:t>1、资格证明部分</w:t>
      </w:r>
      <w:r>
        <w:rPr>
          <w:rFonts w:hint="eastAsia"/>
          <w:b/>
          <w:szCs w:val="21"/>
        </w:rPr>
        <w:t>（一级目录）</w:t>
      </w:r>
      <w:bookmarkEnd w:id="256"/>
      <w:bookmarkEnd w:id="257"/>
      <w:bookmarkEnd w:id="258"/>
      <w:bookmarkEnd w:id="259"/>
    </w:p>
    <w:p w14:paraId="035C8B31">
      <w:pPr>
        <w:numPr>
          <w:ilvl w:val="0"/>
          <w:numId w:val="32"/>
        </w:numPr>
        <w:snapToGrid w:val="0"/>
        <w:spacing w:line="360" w:lineRule="auto"/>
        <w:rPr>
          <w:rFonts w:ascii="宋体" w:hAnsi="宋体"/>
          <w:szCs w:val="21"/>
        </w:rPr>
      </w:pPr>
      <w:r>
        <w:rPr>
          <w:rFonts w:hint="eastAsia" w:ascii="宋体" w:hAnsi="宋体"/>
          <w:szCs w:val="21"/>
        </w:rPr>
        <w:t>应答函（格式参见第六章附件6.</w:t>
      </w:r>
      <w:r>
        <w:rPr>
          <w:rFonts w:ascii="宋体" w:hAnsi="宋体"/>
          <w:szCs w:val="21"/>
        </w:rPr>
        <w:t>1</w:t>
      </w:r>
      <w:r>
        <w:rPr>
          <w:rFonts w:hint="eastAsia" w:ascii="宋体" w:hAnsi="宋体"/>
          <w:szCs w:val="21"/>
        </w:rPr>
        <w:t>，</w:t>
      </w:r>
      <w:r>
        <w:rPr>
          <w:rFonts w:hint="eastAsia" w:ascii="宋体" w:hAnsi="宋体"/>
          <w:b/>
          <w:color w:val="FF0000"/>
          <w:szCs w:val="21"/>
        </w:rPr>
        <w:t>签字并加盖公章</w:t>
      </w:r>
      <w:r>
        <w:rPr>
          <w:rFonts w:hint="eastAsia" w:ascii="宋体" w:hAnsi="宋体"/>
          <w:szCs w:val="21"/>
        </w:rPr>
        <w:t>）（二级目录）</w:t>
      </w:r>
    </w:p>
    <w:p w14:paraId="301AC000">
      <w:pPr>
        <w:numPr>
          <w:ilvl w:val="0"/>
          <w:numId w:val="32"/>
        </w:numPr>
        <w:snapToGrid w:val="0"/>
        <w:spacing w:line="360" w:lineRule="auto"/>
        <w:rPr>
          <w:rFonts w:ascii="宋体" w:hAnsi="宋体"/>
          <w:szCs w:val="21"/>
        </w:rPr>
      </w:pPr>
      <w:r>
        <w:rPr>
          <w:rFonts w:hint="eastAsia" w:ascii="宋体" w:hAnsi="宋体"/>
          <w:szCs w:val="21"/>
        </w:rPr>
        <w:t>法定代表人身份证明（格式参见第六章附件6.</w:t>
      </w:r>
      <w:r>
        <w:rPr>
          <w:rFonts w:ascii="宋体" w:hAnsi="宋体"/>
          <w:szCs w:val="21"/>
        </w:rPr>
        <w:t>2</w:t>
      </w:r>
      <w:r>
        <w:rPr>
          <w:rFonts w:hint="eastAsia" w:ascii="宋体" w:hAnsi="宋体"/>
          <w:szCs w:val="21"/>
        </w:rPr>
        <w:t>，</w:t>
      </w:r>
      <w:r>
        <w:rPr>
          <w:rFonts w:hint="eastAsia" w:ascii="宋体" w:hAnsi="宋体"/>
          <w:b/>
          <w:color w:val="FF0000"/>
          <w:szCs w:val="21"/>
        </w:rPr>
        <w:t>加盖公章</w:t>
      </w:r>
      <w:r>
        <w:rPr>
          <w:rFonts w:hint="eastAsia" w:ascii="宋体" w:hAnsi="宋体"/>
          <w:szCs w:val="21"/>
        </w:rPr>
        <w:t>）（二级目录）</w:t>
      </w:r>
    </w:p>
    <w:p w14:paraId="61BEE1EB">
      <w:pPr>
        <w:numPr>
          <w:ilvl w:val="0"/>
          <w:numId w:val="32"/>
        </w:numPr>
        <w:snapToGrid w:val="0"/>
        <w:spacing w:line="360" w:lineRule="auto"/>
        <w:rPr>
          <w:rFonts w:ascii="宋体" w:hAnsi="宋体"/>
          <w:szCs w:val="21"/>
        </w:rPr>
      </w:pPr>
      <w:r>
        <w:rPr>
          <w:rFonts w:hint="eastAsia" w:ascii="宋体" w:hAnsi="宋体"/>
          <w:szCs w:val="21"/>
        </w:rPr>
        <w:t>法定代表人身份证扫描件（复印正反面）（二级目录）</w:t>
      </w:r>
    </w:p>
    <w:p w14:paraId="5DE0435C">
      <w:pPr>
        <w:numPr>
          <w:ilvl w:val="0"/>
          <w:numId w:val="32"/>
        </w:numPr>
        <w:snapToGrid w:val="0"/>
        <w:spacing w:line="360" w:lineRule="auto"/>
        <w:rPr>
          <w:rFonts w:ascii="宋体" w:hAnsi="宋体"/>
          <w:szCs w:val="21"/>
        </w:rPr>
      </w:pPr>
      <w:r>
        <w:rPr>
          <w:rFonts w:hint="eastAsia" w:ascii="宋体" w:hAnsi="宋体"/>
          <w:szCs w:val="21"/>
        </w:rPr>
        <w:t>法定代表人授权书（格式参见第六章附件6.</w:t>
      </w:r>
      <w:r>
        <w:rPr>
          <w:rFonts w:ascii="宋体" w:hAnsi="宋体"/>
          <w:szCs w:val="21"/>
        </w:rPr>
        <w:t>3</w:t>
      </w:r>
      <w:r>
        <w:rPr>
          <w:rFonts w:hint="eastAsia" w:ascii="宋体" w:hAnsi="宋体"/>
          <w:szCs w:val="21"/>
        </w:rPr>
        <w:t>，</w:t>
      </w:r>
      <w:r>
        <w:rPr>
          <w:rFonts w:hint="eastAsia"/>
        </w:rPr>
        <w:t>如</w:t>
      </w:r>
      <w:r>
        <w:rPr>
          <w:rFonts w:hint="eastAsia" w:asciiTheme="minorEastAsia" w:hAnsiTheme="minorEastAsia" w:eastAsiaTheme="minorEastAsia"/>
          <w:szCs w:val="21"/>
        </w:rPr>
        <w:t>法定代表人</w:t>
      </w:r>
      <w:r>
        <w:rPr>
          <w:rFonts w:hint="eastAsia"/>
        </w:rPr>
        <w:t>本人应答，提供</w:t>
      </w:r>
      <w:r>
        <w:rPr>
          <w:rFonts w:hint="eastAsia" w:asciiTheme="minorEastAsia" w:hAnsiTheme="minorEastAsia" w:eastAsiaTheme="minorEastAsia"/>
          <w:szCs w:val="21"/>
        </w:rPr>
        <w:t>法定代表人</w:t>
      </w:r>
      <w:r>
        <w:rPr>
          <w:rFonts w:hint="eastAsia"/>
        </w:rPr>
        <w:t>身份证明即可，可不提供</w:t>
      </w:r>
      <w:r>
        <w:rPr>
          <w:rFonts w:hint="eastAsia" w:asciiTheme="minorEastAsia" w:hAnsiTheme="minorEastAsia" w:eastAsiaTheme="minorEastAsia"/>
          <w:szCs w:val="21"/>
        </w:rPr>
        <w:t>法定代表人</w:t>
      </w:r>
      <w:r>
        <w:rPr>
          <w:rFonts w:hint="eastAsia"/>
        </w:rPr>
        <w:t>授权书；如非</w:t>
      </w:r>
      <w:r>
        <w:rPr>
          <w:rFonts w:hint="eastAsia" w:asciiTheme="minorEastAsia" w:hAnsiTheme="minorEastAsia" w:eastAsiaTheme="minorEastAsia"/>
          <w:szCs w:val="21"/>
        </w:rPr>
        <w:t>法定代表人</w:t>
      </w:r>
      <w:r>
        <w:rPr>
          <w:rFonts w:hint="eastAsia"/>
        </w:rPr>
        <w:t>应答时必须提供</w:t>
      </w:r>
      <w:r>
        <w:rPr>
          <w:rFonts w:hint="eastAsia" w:asciiTheme="minorEastAsia" w:hAnsiTheme="minorEastAsia" w:eastAsiaTheme="minorEastAsia"/>
          <w:szCs w:val="21"/>
        </w:rPr>
        <w:t>法定代表人</w:t>
      </w:r>
      <w:r>
        <w:rPr>
          <w:rFonts w:hint="eastAsia"/>
        </w:rPr>
        <w:t>授权委托书，</w:t>
      </w:r>
      <w:r>
        <w:rPr>
          <w:rFonts w:hint="eastAsia"/>
          <w:b/>
          <w:bCs/>
          <w:color w:val="FF0000"/>
        </w:rPr>
        <w:t>签字并加盖公章</w:t>
      </w:r>
      <w:r>
        <w:rPr>
          <w:rFonts w:hint="eastAsia" w:ascii="宋体" w:hAnsi="宋体"/>
          <w:szCs w:val="21"/>
        </w:rPr>
        <w:t>）（二级目录）</w:t>
      </w:r>
    </w:p>
    <w:p w14:paraId="4F9DBDA5">
      <w:pPr>
        <w:numPr>
          <w:ilvl w:val="0"/>
          <w:numId w:val="32"/>
        </w:numPr>
        <w:snapToGrid w:val="0"/>
        <w:spacing w:line="360" w:lineRule="auto"/>
        <w:rPr>
          <w:rFonts w:ascii="宋体" w:hAnsi="宋体"/>
          <w:szCs w:val="21"/>
        </w:rPr>
      </w:pPr>
      <w:r>
        <w:rPr>
          <w:rFonts w:hint="eastAsia" w:ascii="宋体" w:hAnsi="宋体"/>
          <w:szCs w:val="21"/>
        </w:rPr>
        <w:t>法定代表人授权人身份证扫描件（复印正反面）（二级目录）</w:t>
      </w:r>
    </w:p>
    <w:p w14:paraId="02080A34">
      <w:pPr>
        <w:numPr>
          <w:ilvl w:val="0"/>
          <w:numId w:val="32"/>
        </w:numPr>
        <w:snapToGrid w:val="0"/>
        <w:spacing w:line="360" w:lineRule="auto"/>
        <w:rPr>
          <w:rFonts w:ascii="宋体" w:hAnsi="宋体"/>
          <w:szCs w:val="21"/>
        </w:rPr>
      </w:pPr>
      <w:r>
        <w:rPr>
          <w:rFonts w:hint="eastAsia"/>
        </w:rPr>
        <w:t>应答人的营业执照副本或其他组织处于存续或在业等正常状态的营业执照副本或事业单位法人证书副本或其他组织经营证明扫描件，以证明应答人在中华人民共和国境内依法注册。（如是分支机构应答，还须提供其法人或非法人组织所出具加盖公章的授权证明，</w:t>
      </w:r>
      <w:r>
        <w:rPr>
          <w:rFonts w:hint="eastAsia" w:ascii="宋体" w:hAnsi="宋体"/>
          <w:szCs w:val="21"/>
        </w:rPr>
        <w:t>格式参见第六章附件6.18</w:t>
      </w:r>
      <w:r>
        <w:rPr>
          <w:rFonts w:hint="eastAsia"/>
        </w:rPr>
        <w:t>）。</w:t>
      </w:r>
      <w:r>
        <w:rPr>
          <w:rFonts w:hint="eastAsia" w:ascii="宋体" w:hAnsi="宋体"/>
          <w:szCs w:val="21"/>
        </w:rPr>
        <w:t>（</w:t>
      </w:r>
      <w:r>
        <w:rPr>
          <w:rFonts w:hint="eastAsia" w:ascii="宋体" w:hAnsi="宋体"/>
          <w:b/>
          <w:color w:val="FF0000"/>
          <w:szCs w:val="21"/>
        </w:rPr>
        <w:t>加盖公章</w:t>
      </w:r>
      <w:r>
        <w:rPr>
          <w:rFonts w:hint="eastAsia" w:ascii="宋体" w:hAnsi="宋体"/>
          <w:szCs w:val="21"/>
        </w:rPr>
        <w:t>）（二级目录）</w:t>
      </w:r>
    </w:p>
    <w:p w14:paraId="4488D14B">
      <w:pPr>
        <w:pStyle w:val="51"/>
        <w:numPr>
          <w:ilvl w:val="0"/>
          <w:numId w:val="32"/>
        </w:numPr>
        <w:snapToGrid w:val="0"/>
        <w:spacing w:line="360" w:lineRule="auto"/>
        <w:ind w:firstLineChars="0"/>
        <w:rPr>
          <w:rFonts w:ascii="宋体" w:hAnsi="宋体"/>
          <w:szCs w:val="21"/>
        </w:rPr>
      </w:pPr>
      <w:r>
        <w:rPr>
          <w:rFonts w:hint="eastAsia" w:ascii="宋体" w:hAnsi="宋体"/>
          <w:szCs w:val="21"/>
        </w:rPr>
        <w:t>单位法定代表人/负责人为同一人或者存在控股、管理关系的不同单位，不得参加同一标段应答或者未划分标段的同一项目应答。格式参见第六章附件6.12《应答人控股及管理关系情况申报表》（二级目录）</w:t>
      </w:r>
    </w:p>
    <w:p w14:paraId="19225560">
      <w:pPr>
        <w:numPr>
          <w:ilvl w:val="0"/>
          <w:numId w:val="32"/>
        </w:numPr>
        <w:snapToGrid w:val="0"/>
        <w:spacing w:line="360" w:lineRule="auto"/>
        <w:rPr>
          <w:rFonts w:ascii="宋体" w:hAnsi="宋体"/>
          <w:szCs w:val="21"/>
        </w:rPr>
      </w:pPr>
      <w:r>
        <w:rPr>
          <w:rFonts w:hint="eastAsia" w:ascii="宋体" w:hAnsi="宋体" w:cs="宋体"/>
          <w:color w:val="000000" w:themeColor="text1"/>
          <w:szCs w:val="21"/>
          <w14:textFill>
            <w14:solidFill>
              <w14:schemeClr w14:val="tx1"/>
            </w14:solidFill>
          </w14:textFill>
        </w:rPr>
        <w:t>应答人不存在下列情形的承诺书：被责令停业或破产状态的；被暂停或取消应答资格的；财产被接管、冻结，破产状态的；在最近三年内有严重违约的；在最近三年内有被相关行政监督部门判定并发布骗取中标的。</w:t>
      </w:r>
      <w:r>
        <w:rPr>
          <w:rFonts w:hint="eastAsia" w:ascii="宋体" w:hAnsi="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格式参见第六章附件6.8《应答人经营</w:t>
      </w:r>
      <w:bookmarkStart w:id="268" w:name="_GoBack"/>
      <w:bookmarkEnd w:id="268"/>
      <w:r>
        <w:rPr>
          <w:rFonts w:hint="eastAsia" w:ascii="宋体" w:hAnsi="宋体" w:cs="宋体"/>
          <w:color w:val="000000" w:themeColor="text1"/>
          <w:szCs w:val="21"/>
          <w14:textFill>
            <w14:solidFill>
              <w14:schemeClr w14:val="tx1"/>
            </w14:solidFill>
          </w14:textFill>
        </w:rPr>
        <w:t>状况承诺书》，</w:t>
      </w:r>
      <w:r>
        <w:rPr>
          <w:rFonts w:hint="eastAsia" w:ascii="宋体" w:hAnsi="宋体" w:cs="宋体"/>
          <w:b/>
          <w:bCs/>
          <w:color w:val="FF0000"/>
          <w:szCs w:val="21"/>
        </w:rPr>
        <w:t>加盖公章）</w:t>
      </w:r>
      <w:r>
        <w:rPr>
          <w:rFonts w:hint="eastAsia" w:ascii="宋体" w:hAnsi="宋体"/>
          <w:szCs w:val="21"/>
        </w:rPr>
        <w:t>。（二级目录）</w:t>
      </w:r>
    </w:p>
    <w:p w14:paraId="34696D20">
      <w:pPr>
        <w:numPr>
          <w:ilvl w:val="0"/>
          <w:numId w:val="32"/>
        </w:numPr>
        <w:snapToGrid w:val="0"/>
        <w:spacing w:line="360" w:lineRule="auto"/>
        <w:rPr>
          <w:rFonts w:ascii="宋体" w:hAnsi="宋体"/>
          <w:szCs w:val="21"/>
        </w:rPr>
      </w:pPr>
      <w:r>
        <w:rPr>
          <w:rFonts w:hint="eastAsia" w:ascii="宋体" w:hAnsi="宋体" w:cs="宋体"/>
          <w:szCs w:val="21"/>
        </w:rPr>
        <w:t>应答人的</w:t>
      </w:r>
      <w:r>
        <w:rPr>
          <w:rFonts w:hint="eastAsia" w:ascii="宋体" w:hAnsi="宋体" w:cs="Arial"/>
          <w:color w:val="000000"/>
          <w:kern w:val="24"/>
        </w:rPr>
        <w:t>基本账户开户许可证扫描件（或基本存款账户信息证明）</w:t>
      </w:r>
      <w:r>
        <w:rPr>
          <w:rFonts w:hint="eastAsia" w:ascii="宋体" w:hAnsi="宋体"/>
          <w:szCs w:val="21"/>
        </w:rPr>
        <w:t>（扫描件）（二级目录）</w:t>
      </w:r>
    </w:p>
    <w:p w14:paraId="139C380C">
      <w:pPr>
        <w:numPr>
          <w:ilvl w:val="0"/>
          <w:numId w:val="32"/>
        </w:numPr>
        <w:snapToGrid w:val="0"/>
        <w:spacing w:line="360" w:lineRule="auto"/>
        <w:rPr>
          <w:rFonts w:ascii="宋体" w:hAnsi="宋体"/>
          <w:szCs w:val="21"/>
        </w:rPr>
      </w:pPr>
      <w:r>
        <w:rPr>
          <w:rFonts w:hint="eastAsia" w:ascii="宋体" w:hAnsi="宋体"/>
          <w:szCs w:val="21"/>
        </w:rPr>
        <w:t>招标文件第五章初步评审需提供的其它证明文件。（二级目录）</w:t>
      </w:r>
    </w:p>
    <w:p w14:paraId="4680D24B">
      <w:pPr>
        <w:snapToGrid w:val="0"/>
        <w:spacing w:line="360" w:lineRule="auto"/>
        <w:outlineLvl w:val="2"/>
        <w:rPr>
          <w:rFonts w:ascii="宋体" w:hAnsi="宋体"/>
          <w:b/>
          <w:szCs w:val="21"/>
        </w:rPr>
      </w:pPr>
      <w:bookmarkStart w:id="260" w:name="_Toc105770546"/>
      <w:bookmarkStart w:id="261" w:name="_Toc4916"/>
      <w:bookmarkStart w:id="262" w:name="_Toc1134"/>
      <w:bookmarkStart w:id="263" w:name="_Toc9289"/>
      <w:r>
        <w:rPr>
          <w:rFonts w:hint="eastAsia" w:ascii="宋体" w:hAnsi="宋体"/>
          <w:b/>
          <w:szCs w:val="21"/>
        </w:rPr>
        <w:t>2、商务部分</w:t>
      </w:r>
      <w:r>
        <w:rPr>
          <w:rFonts w:hint="eastAsia"/>
          <w:b/>
          <w:szCs w:val="21"/>
        </w:rPr>
        <w:t>（一级目录）</w:t>
      </w:r>
      <w:bookmarkEnd w:id="260"/>
      <w:bookmarkEnd w:id="261"/>
      <w:bookmarkEnd w:id="262"/>
      <w:bookmarkEnd w:id="263"/>
    </w:p>
    <w:p w14:paraId="5B7B20DC">
      <w:pPr>
        <w:numPr>
          <w:ilvl w:val="0"/>
          <w:numId w:val="32"/>
        </w:numPr>
        <w:snapToGrid w:val="0"/>
        <w:spacing w:line="360" w:lineRule="auto"/>
        <w:rPr>
          <w:rFonts w:ascii="宋体" w:hAnsi="宋体"/>
          <w:b/>
          <w:szCs w:val="21"/>
        </w:rPr>
      </w:pPr>
      <w:r>
        <w:rPr>
          <w:rFonts w:hint="eastAsia" w:ascii="宋体" w:hAnsi="宋体"/>
          <w:szCs w:val="21"/>
        </w:rPr>
        <w:t>商务</w:t>
      </w:r>
      <w:r>
        <w:rPr>
          <w:rFonts w:ascii="宋体" w:hAnsi="宋体"/>
          <w:szCs w:val="21"/>
        </w:rPr>
        <w:t>偏离表</w:t>
      </w:r>
      <w:r>
        <w:rPr>
          <w:rFonts w:hint="eastAsia" w:ascii="宋体" w:hAnsi="宋体"/>
          <w:szCs w:val="21"/>
        </w:rPr>
        <w:t>（格式参见第六章附件6.</w:t>
      </w:r>
      <w:r>
        <w:rPr>
          <w:rFonts w:ascii="宋体" w:hAnsi="宋体"/>
          <w:szCs w:val="21"/>
        </w:rPr>
        <w:t>5</w:t>
      </w:r>
      <w:r>
        <w:rPr>
          <w:rFonts w:hint="eastAsia" w:ascii="宋体" w:hAnsi="宋体"/>
          <w:szCs w:val="21"/>
        </w:rPr>
        <w:t>，</w:t>
      </w:r>
      <w:r>
        <w:rPr>
          <w:rFonts w:hint="eastAsia" w:ascii="宋体" w:hAnsi="宋体"/>
          <w:b/>
          <w:color w:val="FF0000"/>
          <w:szCs w:val="21"/>
        </w:rPr>
        <w:t>签字并加盖公章</w:t>
      </w:r>
      <w:r>
        <w:rPr>
          <w:rFonts w:hint="eastAsia" w:ascii="宋体" w:hAnsi="宋体"/>
          <w:szCs w:val="21"/>
        </w:rPr>
        <w:t>）（二级目录）</w:t>
      </w:r>
    </w:p>
    <w:p w14:paraId="3BB6C666">
      <w:pPr>
        <w:pStyle w:val="51"/>
        <w:numPr>
          <w:ilvl w:val="0"/>
          <w:numId w:val="33"/>
        </w:numPr>
        <w:snapToGrid w:val="0"/>
        <w:spacing w:line="360" w:lineRule="auto"/>
        <w:ind w:firstLineChars="0"/>
        <w:rPr>
          <w:rFonts w:ascii="宋体" w:hAnsi="宋体"/>
          <w:b/>
          <w:szCs w:val="21"/>
        </w:rPr>
      </w:pPr>
      <w:r>
        <w:rPr>
          <w:rFonts w:hint="eastAsia" w:ascii="宋体" w:hAnsi="宋体"/>
          <w:szCs w:val="21"/>
        </w:rPr>
        <w:t>应答人应按招标文件要求给出相应的应答。</w:t>
      </w:r>
    </w:p>
    <w:p w14:paraId="675A90F0">
      <w:pPr>
        <w:pStyle w:val="51"/>
        <w:numPr>
          <w:ilvl w:val="0"/>
          <w:numId w:val="33"/>
        </w:numPr>
        <w:snapToGrid w:val="0"/>
        <w:spacing w:line="360" w:lineRule="auto"/>
        <w:ind w:firstLineChars="0"/>
        <w:rPr>
          <w:rFonts w:ascii="宋体" w:hAnsi="宋体"/>
          <w:b/>
          <w:szCs w:val="21"/>
        </w:rPr>
      </w:pPr>
      <w:r>
        <w:rPr>
          <w:rFonts w:hint="eastAsia" w:ascii="宋体" w:hAnsi="宋体"/>
          <w:szCs w:val="21"/>
        </w:rPr>
        <w:t>无须对《招标文件》中的“第三章 商务规范书”进行点对点逐条应答，仅需对《商务偏离表》（详见格式见第六章附件6.5《商务偏离表》）进行填写，如应答人提交的《商务偏离表》未填写实质性内容，则视为已接受《招标文件》中“商务规范书”的所有条款。</w:t>
      </w:r>
    </w:p>
    <w:p w14:paraId="35A9DB56">
      <w:pPr>
        <w:numPr>
          <w:ilvl w:val="0"/>
          <w:numId w:val="32"/>
        </w:numPr>
        <w:snapToGrid w:val="0"/>
        <w:spacing w:line="360" w:lineRule="auto"/>
        <w:rPr>
          <w:rFonts w:ascii="宋体" w:hAnsi="宋体"/>
          <w:szCs w:val="21"/>
        </w:rPr>
      </w:pPr>
      <w:r>
        <w:rPr>
          <w:rFonts w:hint="eastAsia" w:ascii="宋体" w:hAnsi="宋体"/>
          <w:szCs w:val="21"/>
        </w:rPr>
        <w:t>应答专用章说明函（如有）（格式参见第六章附件6.9，</w:t>
      </w:r>
      <w:r>
        <w:rPr>
          <w:rFonts w:hint="eastAsia" w:ascii="宋体" w:hAnsi="宋体"/>
          <w:b/>
          <w:color w:val="FF0000"/>
          <w:szCs w:val="21"/>
        </w:rPr>
        <w:t>加盖公章，</w:t>
      </w:r>
      <w:r>
        <w:rPr>
          <w:rFonts w:hint="eastAsia" w:ascii="宋体" w:hAnsi="宋体"/>
          <w:szCs w:val="21"/>
        </w:rPr>
        <w:t>应答人使用公章的不须提供该说明函）（二级目录）。</w:t>
      </w:r>
    </w:p>
    <w:p w14:paraId="6D07C6ED">
      <w:pPr>
        <w:pStyle w:val="51"/>
        <w:numPr>
          <w:ilvl w:val="0"/>
          <w:numId w:val="32"/>
        </w:numPr>
        <w:snapToGrid w:val="0"/>
        <w:spacing w:line="360" w:lineRule="auto"/>
        <w:ind w:firstLineChars="0"/>
        <w:rPr>
          <w:rFonts w:ascii="宋体" w:hAnsi="宋体"/>
          <w:szCs w:val="21"/>
        </w:rPr>
      </w:pPr>
      <w:r>
        <w:rPr>
          <w:rFonts w:hint="eastAsia" w:ascii="宋体" w:hAnsi="宋体"/>
          <w:szCs w:val="21"/>
        </w:rPr>
        <w:t>业绩证明文件(类似项目合同扫描件，</w:t>
      </w:r>
      <w:r>
        <w:rPr>
          <w:rFonts w:hint="eastAsia" w:ascii="宋体" w:hAnsi="宋体"/>
          <w:b/>
          <w:color w:val="FF0000"/>
          <w:szCs w:val="21"/>
        </w:rPr>
        <w:t>未逐页加盖公章的合同业绩视为无效业绩</w:t>
      </w:r>
      <w:r>
        <w:rPr>
          <w:rFonts w:hint="eastAsia" w:ascii="宋体" w:hAnsi="宋体"/>
          <w:szCs w:val="21"/>
        </w:rPr>
        <w:t>)（二级目录）。</w:t>
      </w:r>
    </w:p>
    <w:p w14:paraId="2E5872CC">
      <w:pPr>
        <w:pStyle w:val="51"/>
        <w:snapToGrid w:val="0"/>
        <w:spacing w:line="360" w:lineRule="auto"/>
        <w:ind w:firstLine="0" w:firstLineChars="0"/>
        <w:rPr>
          <w:rFonts w:ascii="宋体" w:hAnsi="宋体"/>
          <w:szCs w:val="21"/>
        </w:rPr>
      </w:pPr>
      <w:r>
        <w:rPr>
          <w:rFonts w:hint="eastAsia" w:ascii="宋体" w:hAnsi="宋体"/>
          <w:szCs w:val="21"/>
        </w:rPr>
        <w:t>说明：需提供合同（首页、金额等关键页、盖章页）扫描件证明业绩，必须清晰且不得缩印。如果《技术规范书》或《技术评分表》中对业绩证明文件有要求，则以《技术规范书》或《技术评分表》中的要求为准。</w:t>
      </w:r>
    </w:p>
    <w:p w14:paraId="17573016">
      <w:pPr>
        <w:pStyle w:val="51"/>
        <w:numPr>
          <w:ilvl w:val="0"/>
          <w:numId w:val="32"/>
        </w:numPr>
        <w:snapToGrid w:val="0"/>
        <w:spacing w:line="360" w:lineRule="auto"/>
        <w:ind w:firstLineChars="0"/>
        <w:rPr>
          <w:rFonts w:ascii="宋体" w:hAnsi="宋体"/>
          <w:szCs w:val="21"/>
        </w:rPr>
      </w:pPr>
      <w:r>
        <w:rPr>
          <w:rFonts w:hint="eastAsia" w:ascii="宋体" w:hAnsi="宋体"/>
          <w:szCs w:val="21"/>
        </w:rPr>
        <w:t>应答保证金保函（如有）（格式参见第六章附件6.13）（二级目录）</w:t>
      </w:r>
    </w:p>
    <w:p w14:paraId="489D4196">
      <w:pPr>
        <w:pStyle w:val="51"/>
        <w:numPr>
          <w:ilvl w:val="0"/>
          <w:numId w:val="32"/>
        </w:numPr>
        <w:snapToGrid w:val="0"/>
        <w:spacing w:line="360" w:lineRule="auto"/>
        <w:ind w:firstLineChars="0"/>
        <w:rPr>
          <w:rFonts w:ascii="宋体" w:hAnsi="宋体"/>
          <w:szCs w:val="21"/>
        </w:rPr>
      </w:pPr>
      <w:r>
        <w:rPr>
          <w:rFonts w:hint="eastAsia" w:ascii="宋体" w:hAnsi="宋体"/>
          <w:szCs w:val="21"/>
        </w:rPr>
        <w:t>履约保证金保函要求（如有）（格式参见第六章附件6.14）（二级目录）</w:t>
      </w:r>
    </w:p>
    <w:p w14:paraId="370A7146">
      <w:pPr>
        <w:pStyle w:val="51"/>
        <w:numPr>
          <w:ilvl w:val="0"/>
          <w:numId w:val="32"/>
        </w:numPr>
        <w:snapToGrid w:val="0"/>
        <w:spacing w:line="360" w:lineRule="auto"/>
        <w:ind w:firstLineChars="0"/>
        <w:rPr>
          <w:rFonts w:ascii="宋体" w:hAnsi="宋体"/>
          <w:szCs w:val="21"/>
        </w:rPr>
      </w:pPr>
      <w:r>
        <w:rPr>
          <w:rFonts w:hint="eastAsia" w:ascii="宋体" w:hAnsi="宋体"/>
          <w:szCs w:val="21"/>
        </w:rPr>
        <w:t>供应商基本信息表（格式参见第六章附件6.1</w:t>
      </w:r>
      <w:r>
        <w:rPr>
          <w:rFonts w:hint="eastAsia" w:ascii="宋体" w:hAnsi="宋体"/>
          <w:szCs w:val="21"/>
          <w:lang w:val="en-US" w:eastAsia="zh-CN"/>
        </w:rPr>
        <w:t>5</w:t>
      </w:r>
      <w:r>
        <w:rPr>
          <w:rFonts w:hint="eastAsia" w:ascii="宋体" w:hAnsi="宋体"/>
          <w:szCs w:val="21"/>
        </w:rPr>
        <w:t>）（二级目录）</w:t>
      </w:r>
    </w:p>
    <w:p w14:paraId="234C8982">
      <w:pPr>
        <w:pStyle w:val="51"/>
        <w:numPr>
          <w:ilvl w:val="0"/>
          <w:numId w:val="32"/>
        </w:numPr>
        <w:snapToGrid w:val="0"/>
        <w:spacing w:line="360" w:lineRule="auto"/>
        <w:ind w:firstLineChars="0"/>
        <w:rPr>
          <w:rFonts w:ascii="宋体" w:hAnsi="宋体"/>
          <w:szCs w:val="21"/>
        </w:rPr>
      </w:pPr>
      <w:r>
        <w:rPr>
          <w:rFonts w:hint="eastAsia" w:ascii="宋体" w:hAnsi="宋体"/>
          <w:szCs w:val="21"/>
        </w:rPr>
        <w:t>工商注册信息（格式参见第六章附件6.1</w:t>
      </w:r>
      <w:r>
        <w:rPr>
          <w:rFonts w:hint="eastAsia" w:ascii="宋体" w:hAnsi="宋体"/>
          <w:szCs w:val="21"/>
          <w:lang w:val="en-US" w:eastAsia="zh-CN"/>
        </w:rPr>
        <w:t>6</w:t>
      </w:r>
      <w:r>
        <w:rPr>
          <w:rFonts w:hint="eastAsia" w:ascii="宋体" w:hAnsi="宋体"/>
          <w:szCs w:val="21"/>
        </w:rPr>
        <w:t>）（二级目录）</w:t>
      </w:r>
    </w:p>
    <w:p w14:paraId="39025BF3">
      <w:pPr>
        <w:numPr>
          <w:ilvl w:val="0"/>
          <w:numId w:val="32"/>
        </w:numPr>
        <w:snapToGrid w:val="0"/>
        <w:spacing w:line="360" w:lineRule="auto"/>
        <w:rPr>
          <w:rFonts w:ascii="宋体" w:hAnsi="宋体"/>
          <w:szCs w:val="21"/>
        </w:rPr>
      </w:pPr>
      <w:r>
        <w:rPr>
          <w:rFonts w:hint="eastAsia" w:ascii="宋体" w:hAnsi="宋体"/>
          <w:szCs w:val="21"/>
        </w:rPr>
        <w:t>招标文件第六章应答文件格式中商务部分</w:t>
      </w:r>
      <w:r>
        <w:rPr>
          <w:rFonts w:ascii="宋体" w:hAnsi="宋体"/>
          <w:szCs w:val="21"/>
        </w:rPr>
        <w:t>要求提供的</w:t>
      </w:r>
      <w:r>
        <w:rPr>
          <w:rFonts w:hint="eastAsia" w:ascii="宋体" w:hAnsi="宋体"/>
          <w:szCs w:val="21"/>
        </w:rPr>
        <w:t>其他资格证书（如有）（</w:t>
      </w:r>
      <w:r>
        <w:rPr>
          <w:rFonts w:hint="eastAsia" w:ascii="宋体" w:hAnsi="宋体"/>
          <w:b/>
          <w:color w:val="FF0000"/>
          <w:szCs w:val="21"/>
        </w:rPr>
        <w:t>加盖公章</w:t>
      </w:r>
      <w:r>
        <w:rPr>
          <w:rFonts w:hint="eastAsia" w:ascii="宋体" w:hAnsi="宋体"/>
          <w:szCs w:val="21"/>
        </w:rPr>
        <w:t>）（二级目录）</w:t>
      </w:r>
    </w:p>
    <w:p w14:paraId="2C46E785">
      <w:pPr>
        <w:pStyle w:val="51"/>
        <w:numPr>
          <w:ilvl w:val="0"/>
          <w:numId w:val="29"/>
        </w:numPr>
        <w:snapToGrid w:val="0"/>
        <w:ind w:left="442" w:hanging="442" w:firstLineChars="0"/>
        <w:outlineLvl w:val="1"/>
        <w:rPr>
          <w:rFonts w:ascii="宋体" w:hAnsi="宋体"/>
          <w:b/>
          <w:sz w:val="32"/>
          <w:szCs w:val="32"/>
        </w:rPr>
      </w:pPr>
      <w:bookmarkStart w:id="264" w:name="_Toc105770547"/>
      <w:bookmarkStart w:id="265" w:name="_Toc641"/>
      <w:bookmarkStart w:id="266" w:name="_Toc4511"/>
      <w:bookmarkStart w:id="267" w:name="_Toc23739"/>
      <w:r>
        <w:rPr>
          <w:rFonts w:hint="eastAsia" w:ascii="宋体" w:hAnsi="宋体"/>
          <w:b/>
          <w:sz w:val="32"/>
          <w:szCs w:val="32"/>
        </w:rPr>
        <w:t>报价分册（</w:t>
      </w:r>
      <w:r>
        <w:rPr>
          <w:rFonts w:hint="eastAsia" w:ascii="宋体" w:hAnsi="宋体"/>
          <w:b/>
          <w:color w:val="FF0000"/>
          <w:sz w:val="32"/>
          <w:szCs w:val="32"/>
        </w:rPr>
        <w:t>单独成册</w:t>
      </w:r>
      <w:r>
        <w:rPr>
          <w:rFonts w:hint="eastAsia" w:ascii="宋体" w:hAnsi="宋体"/>
          <w:b/>
          <w:sz w:val="32"/>
          <w:szCs w:val="32"/>
        </w:rPr>
        <w:t>）</w:t>
      </w:r>
      <w:bookmarkEnd w:id="264"/>
      <w:bookmarkEnd w:id="265"/>
      <w:bookmarkEnd w:id="266"/>
      <w:bookmarkEnd w:id="267"/>
    </w:p>
    <w:p w14:paraId="324C9178">
      <w:pPr>
        <w:numPr>
          <w:ilvl w:val="0"/>
          <w:numId w:val="34"/>
        </w:numPr>
        <w:snapToGrid w:val="0"/>
        <w:spacing w:line="360" w:lineRule="auto"/>
        <w:rPr>
          <w:rFonts w:ascii="宋体" w:hAnsi="宋体"/>
          <w:b/>
          <w:szCs w:val="21"/>
        </w:rPr>
      </w:pPr>
      <w:r>
        <w:rPr>
          <w:rFonts w:hint="eastAsia" w:ascii="宋体" w:hAnsi="宋体"/>
          <w:szCs w:val="21"/>
        </w:rPr>
        <w:t>《应答报价文件》中的“应答报价一览表” (格式参见第六章附件6.</w:t>
      </w:r>
      <w:r>
        <w:rPr>
          <w:rFonts w:ascii="宋体" w:hAnsi="宋体"/>
          <w:szCs w:val="21"/>
        </w:rPr>
        <w:t>6</w:t>
      </w:r>
      <w:r>
        <w:rPr>
          <w:rFonts w:hint="eastAsia" w:ascii="宋体" w:hAnsi="宋体"/>
          <w:szCs w:val="21"/>
        </w:rPr>
        <w:t>，</w:t>
      </w:r>
      <w:r>
        <w:rPr>
          <w:rFonts w:hint="eastAsia" w:ascii="宋体" w:hAnsi="宋体"/>
          <w:b/>
          <w:color w:val="FF0000"/>
          <w:szCs w:val="21"/>
        </w:rPr>
        <w:t>签字并加盖公章</w:t>
      </w:r>
      <w:r>
        <w:rPr>
          <w:rFonts w:hint="eastAsia" w:ascii="宋体" w:hAnsi="宋体"/>
          <w:szCs w:val="21"/>
        </w:rPr>
        <w:t>)</w:t>
      </w:r>
    </w:p>
    <w:p w14:paraId="3BF5E90C">
      <w:pPr>
        <w:numPr>
          <w:ilvl w:val="0"/>
          <w:numId w:val="34"/>
        </w:numPr>
        <w:snapToGrid w:val="0"/>
        <w:spacing w:line="360" w:lineRule="auto"/>
        <w:rPr>
          <w:rFonts w:ascii="宋体" w:hAnsi="宋体"/>
          <w:b/>
          <w:szCs w:val="21"/>
        </w:rPr>
      </w:pPr>
      <w:r>
        <w:rPr>
          <w:rFonts w:hint="eastAsia" w:ascii="宋体" w:hAnsi="宋体"/>
          <w:szCs w:val="21"/>
        </w:rPr>
        <w:t>《应答报价文件》中的“应答报价清单” (格式参见第六章附件6.6，</w:t>
      </w:r>
      <w:r>
        <w:rPr>
          <w:rFonts w:hint="eastAsia" w:ascii="宋体" w:hAnsi="宋体"/>
          <w:b/>
          <w:color w:val="FF0000"/>
          <w:szCs w:val="21"/>
        </w:rPr>
        <w:t>逐页加盖公章</w:t>
      </w:r>
      <w:r>
        <w:rPr>
          <w:rFonts w:hint="eastAsia" w:ascii="宋体" w:hAnsi="宋体"/>
          <w:szCs w:val="21"/>
        </w:rPr>
        <w:t>)。</w:t>
      </w:r>
    </w:p>
    <w:p w14:paraId="220A0CCE">
      <w:pPr>
        <w:snapToGrid w:val="0"/>
        <w:spacing w:line="360" w:lineRule="auto"/>
        <w:ind w:firstLine="315" w:firstLineChars="150"/>
        <w:rPr>
          <w:szCs w:val="21"/>
        </w:rPr>
      </w:pPr>
      <w:r>
        <w:rPr>
          <w:rFonts w:hint="eastAsia" w:ascii="宋体" w:hAnsi="宋体"/>
          <w:szCs w:val="21"/>
        </w:rPr>
        <w:t>说明：应答报价一览表、应答报价清单的内容不要连续打印在同一页。</w:t>
      </w:r>
    </w:p>
    <w:p w14:paraId="58F9D775">
      <w:pPr>
        <w:snapToGrid w:val="0"/>
        <w:spacing w:line="360" w:lineRule="auto"/>
        <w:ind w:firstLine="315" w:firstLineChars="150"/>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01B54">
    <w:pPr>
      <w:pStyle w:val="29"/>
      <w:framePr w:wrap="around" w:vAnchor="text" w:hAnchor="margin" w:xAlign="center" w:y="1"/>
      <w:rPr>
        <w:rStyle w:val="43"/>
        <w:sz w:val="21"/>
        <w:szCs w:val="21"/>
      </w:rPr>
    </w:pPr>
    <w:r>
      <w:rPr>
        <w:rStyle w:val="43"/>
        <w:sz w:val="21"/>
        <w:szCs w:val="21"/>
      </w:rPr>
      <w:fldChar w:fldCharType="begin"/>
    </w:r>
    <w:r>
      <w:rPr>
        <w:rStyle w:val="43"/>
        <w:sz w:val="21"/>
        <w:szCs w:val="21"/>
      </w:rPr>
      <w:instrText xml:space="preserve">PAGE  </w:instrText>
    </w:r>
    <w:r>
      <w:rPr>
        <w:rStyle w:val="43"/>
        <w:sz w:val="21"/>
        <w:szCs w:val="21"/>
      </w:rPr>
      <w:fldChar w:fldCharType="separate"/>
    </w:r>
    <w:r>
      <w:rPr>
        <w:rStyle w:val="43"/>
        <w:sz w:val="21"/>
        <w:szCs w:val="21"/>
      </w:rPr>
      <w:t>1</w:t>
    </w:r>
    <w:r>
      <w:rPr>
        <w:rStyle w:val="43"/>
        <w:sz w:val="21"/>
        <w:szCs w:val="21"/>
      </w:rPr>
      <w:fldChar w:fldCharType="end"/>
    </w:r>
  </w:p>
  <w:p w14:paraId="2B2B059C">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7487D">
    <w:pPr>
      <w:pStyle w:val="29"/>
      <w:framePr w:wrap="around" w:vAnchor="text" w:hAnchor="margin" w:xAlign="center" w:y="1"/>
      <w:rPr>
        <w:rStyle w:val="43"/>
      </w:rPr>
    </w:pPr>
    <w:r>
      <w:rPr>
        <w:rStyle w:val="43"/>
      </w:rPr>
      <w:fldChar w:fldCharType="begin"/>
    </w:r>
    <w:r>
      <w:rPr>
        <w:rStyle w:val="43"/>
      </w:rPr>
      <w:instrText xml:space="preserve">PAGE  </w:instrText>
    </w:r>
    <w:r>
      <w:rPr>
        <w:rStyle w:val="43"/>
      </w:rPr>
      <w:fldChar w:fldCharType="separate"/>
    </w:r>
    <w:r>
      <w:rPr>
        <w:rStyle w:val="43"/>
      </w:rPr>
      <w:t>1</w:t>
    </w:r>
    <w:r>
      <w:rPr>
        <w:rStyle w:val="43"/>
      </w:rPr>
      <w:fldChar w:fldCharType="end"/>
    </w:r>
  </w:p>
  <w:p w14:paraId="5165C83D">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17097">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5BB6E">
    <w:pPr>
      <w:pStyle w:val="29"/>
      <w:jc w:val="center"/>
    </w:pPr>
    <w:r>
      <w:rPr>
        <w:rStyle w:val="43"/>
      </w:rPr>
      <w:fldChar w:fldCharType="begin"/>
    </w:r>
    <w:r>
      <w:rPr>
        <w:rStyle w:val="43"/>
      </w:rPr>
      <w:instrText xml:space="preserve"> PAGE </w:instrText>
    </w:r>
    <w:r>
      <w:rPr>
        <w:rStyle w:val="43"/>
      </w:rPr>
      <w:fldChar w:fldCharType="separate"/>
    </w:r>
    <w:r>
      <w:rPr>
        <w:rStyle w:val="43"/>
      </w:rPr>
      <w:t>3</w:t>
    </w:r>
    <w:r>
      <w:rPr>
        <w:rStyle w:val="43"/>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57A46">
    <w:pPr>
      <w:pStyle w:val="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320B1">
    <w:pPr>
      <w:pStyle w:val="3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25AC5">
    <w:pPr>
      <w:pStyle w:val="3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2922A">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79FF2"/>
    <w:multiLevelType w:val="singleLevel"/>
    <w:tmpl w:val="CF079FF2"/>
    <w:lvl w:ilvl="0" w:tentative="0">
      <w:start w:val="1"/>
      <w:numFmt w:val="chineseCounting"/>
      <w:suff w:val="nothing"/>
      <w:lvlText w:val="%1、"/>
      <w:lvlJc w:val="left"/>
      <w:rPr>
        <w:rFonts w:hint="eastAsia"/>
      </w:rPr>
    </w:lvl>
  </w:abstractNum>
  <w:abstractNum w:abstractNumId="1">
    <w:nsid w:val="EC51CA33"/>
    <w:multiLevelType w:val="singleLevel"/>
    <w:tmpl w:val="EC51CA33"/>
    <w:lvl w:ilvl="0" w:tentative="0">
      <w:start w:val="1"/>
      <w:numFmt w:val="chineseCounting"/>
      <w:suff w:val="nothing"/>
      <w:lvlText w:val="（%1）"/>
      <w:lvlJc w:val="left"/>
      <w:pPr>
        <w:ind w:left="-210" w:firstLine="420"/>
      </w:pPr>
      <w:rPr>
        <w:rFonts w:hint="eastAsia"/>
      </w:rPr>
    </w:lvl>
  </w:abstractNum>
  <w:abstractNum w:abstractNumId="2">
    <w:nsid w:val="008D608E"/>
    <w:multiLevelType w:val="multilevel"/>
    <w:tmpl w:val="008D608E"/>
    <w:lvl w:ilvl="0" w:tentative="0">
      <w:start w:val="1"/>
      <w:numFmt w:val="bullet"/>
      <w:lvlText w:val=""/>
      <w:lvlJc w:val="left"/>
      <w:pPr>
        <w:ind w:left="720" w:hanging="420"/>
      </w:pPr>
      <w:rPr>
        <w:rFonts w:hint="default" w:ascii="Wingdings" w:hAnsi="Wingdings"/>
      </w:rPr>
    </w:lvl>
    <w:lvl w:ilvl="1" w:tentative="0">
      <w:start w:val="1"/>
      <w:numFmt w:val="bullet"/>
      <w:lvlText w:val=""/>
      <w:lvlJc w:val="left"/>
      <w:pPr>
        <w:ind w:left="1140" w:hanging="420"/>
      </w:pPr>
      <w:rPr>
        <w:rFonts w:hint="default" w:ascii="Wingdings" w:hAnsi="Wingdings"/>
      </w:rPr>
    </w:lvl>
    <w:lvl w:ilvl="2" w:tentative="0">
      <w:start w:val="1"/>
      <w:numFmt w:val="bullet"/>
      <w:lvlText w:val=""/>
      <w:lvlJc w:val="left"/>
      <w:pPr>
        <w:ind w:left="1560" w:hanging="420"/>
      </w:pPr>
      <w:rPr>
        <w:rFonts w:hint="default" w:ascii="Wingdings" w:hAnsi="Wingdings"/>
      </w:rPr>
    </w:lvl>
    <w:lvl w:ilvl="3" w:tentative="0">
      <w:start w:val="1"/>
      <w:numFmt w:val="bullet"/>
      <w:lvlText w:val=""/>
      <w:lvlJc w:val="left"/>
      <w:pPr>
        <w:ind w:left="1980" w:hanging="420"/>
      </w:pPr>
      <w:rPr>
        <w:rFonts w:hint="default" w:ascii="Wingdings" w:hAnsi="Wingdings"/>
      </w:rPr>
    </w:lvl>
    <w:lvl w:ilvl="4" w:tentative="0">
      <w:start w:val="1"/>
      <w:numFmt w:val="bullet"/>
      <w:lvlText w:val=""/>
      <w:lvlJc w:val="left"/>
      <w:pPr>
        <w:ind w:left="2400" w:hanging="420"/>
      </w:pPr>
      <w:rPr>
        <w:rFonts w:hint="default" w:ascii="Wingdings" w:hAnsi="Wingdings"/>
      </w:rPr>
    </w:lvl>
    <w:lvl w:ilvl="5" w:tentative="0">
      <w:start w:val="1"/>
      <w:numFmt w:val="bullet"/>
      <w:lvlText w:val=""/>
      <w:lvlJc w:val="left"/>
      <w:pPr>
        <w:ind w:left="2820" w:hanging="420"/>
      </w:pPr>
      <w:rPr>
        <w:rFonts w:hint="default" w:ascii="Wingdings" w:hAnsi="Wingdings"/>
      </w:rPr>
    </w:lvl>
    <w:lvl w:ilvl="6" w:tentative="0">
      <w:start w:val="1"/>
      <w:numFmt w:val="bullet"/>
      <w:lvlText w:val=""/>
      <w:lvlJc w:val="left"/>
      <w:pPr>
        <w:ind w:left="3240" w:hanging="420"/>
      </w:pPr>
      <w:rPr>
        <w:rFonts w:hint="default" w:ascii="Wingdings" w:hAnsi="Wingdings"/>
      </w:rPr>
    </w:lvl>
    <w:lvl w:ilvl="7" w:tentative="0">
      <w:start w:val="1"/>
      <w:numFmt w:val="bullet"/>
      <w:lvlText w:val=""/>
      <w:lvlJc w:val="left"/>
      <w:pPr>
        <w:ind w:left="3660" w:hanging="420"/>
      </w:pPr>
      <w:rPr>
        <w:rFonts w:hint="default" w:ascii="Wingdings" w:hAnsi="Wingdings"/>
      </w:rPr>
    </w:lvl>
    <w:lvl w:ilvl="8" w:tentative="0">
      <w:start w:val="1"/>
      <w:numFmt w:val="bullet"/>
      <w:lvlText w:val=""/>
      <w:lvlJc w:val="left"/>
      <w:pPr>
        <w:ind w:left="4080" w:hanging="420"/>
      </w:pPr>
      <w:rPr>
        <w:rFonts w:hint="default" w:ascii="Wingdings" w:hAnsi="Wingdings"/>
      </w:rPr>
    </w:lvl>
  </w:abstractNum>
  <w:abstractNum w:abstractNumId="3">
    <w:nsid w:val="02400673"/>
    <w:multiLevelType w:val="multilevel"/>
    <w:tmpl w:val="0240067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2C8C3DA"/>
    <w:multiLevelType w:val="multilevel"/>
    <w:tmpl w:val="02C8C3DA"/>
    <w:lvl w:ilvl="0" w:tentative="0">
      <w:start w:val="1"/>
      <w:numFmt w:val="decimal"/>
      <w:suff w:val="space"/>
      <w:lvlText w:val="（%1）"/>
      <w:lvlJc w:val="left"/>
      <w:pPr>
        <w:ind w:left="0" w:firstLine="0"/>
      </w:pPr>
      <w:rPr>
        <w:b w:val="0"/>
        <w:lang w:val="en-US"/>
      </w:rPr>
    </w:lvl>
    <w:lvl w:ilvl="1" w:tentative="0">
      <w:start w:val="2"/>
      <w:numFmt w:val="decimalEnclosedCircle"/>
      <w:lvlText w:val="%2"/>
      <w:lvlJc w:val="left"/>
      <w:pPr>
        <w:ind w:left="1064" w:hanging="360"/>
      </w:pPr>
      <w:rPr>
        <w:rFonts w:hint="eastAsia" w:ascii="宋体" w:hAnsi="宋体" w:eastAsia="Times New Roman" w:cs="宋体"/>
        <w:color w:val="auto"/>
      </w:r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5">
    <w:nsid w:val="0C444D13"/>
    <w:multiLevelType w:val="multilevel"/>
    <w:tmpl w:val="0C444D13"/>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C8B68B1"/>
    <w:multiLevelType w:val="multilevel"/>
    <w:tmpl w:val="0C8B68B1"/>
    <w:lvl w:ilvl="0" w:tentative="0">
      <w:start w:val="1"/>
      <w:numFmt w:val="decimal"/>
      <w:lvlText w:val="2.18.%1"/>
      <w:lvlJc w:val="left"/>
      <w:pPr>
        <w:tabs>
          <w:tab w:val="left" w:pos="0"/>
        </w:tabs>
        <w:ind w:left="840" w:hanging="84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6A564EE"/>
    <w:multiLevelType w:val="multilevel"/>
    <w:tmpl w:val="16A564EE"/>
    <w:lvl w:ilvl="0" w:tentative="0">
      <w:start w:val="1"/>
      <w:numFmt w:val="decimal"/>
      <w:lvlText w:val="2.30.%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7C55F5A"/>
    <w:multiLevelType w:val="multilevel"/>
    <w:tmpl w:val="27C55F5A"/>
    <w:lvl w:ilvl="0" w:tentative="0">
      <w:start w:val="1"/>
      <w:numFmt w:val="decimal"/>
      <w:lvlText w:val="2.16.%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80A4604"/>
    <w:multiLevelType w:val="multilevel"/>
    <w:tmpl w:val="280A4604"/>
    <w:lvl w:ilvl="0" w:tentative="0">
      <w:start w:val="1"/>
      <w:numFmt w:val="decimal"/>
      <w:lvlText w:val="2.26.%1"/>
      <w:lvlJc w:val="left"/>
      <w:pPr>
        <w:tabs>
          <w:tab w:val="left" w:pos="42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294C15B8"/>
    <w:multiLevelType w:val="multilevel"/>
    <w:tmpl w:val="294C15B8"/>
    <w:lvl w:ilvl="0" w:tentative="0">
      <w:start w:val="1"/>
      <w:numFmt w:val="decimal"/>
      <w:lvlText w:val="%1)"/>
      <w:lvlJc w:val="left"/>
      <w:pPr>
        <w:tabs>
          <w:tab w:val="left" w:pos="791"/>
        </w:tabs>
        <w:ind w:left="791"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E693BF7"/>
    <w:multiLevelType w:val="multilevel"/>
    <w:tmpl w:val="2E693BF7"/>
    <w:lvl w:ilvl="0" w:tentative="0">
      <w:start w:val="1"/>
      <w:numFmt w:val="decimal"/>
      <w:suff w:val="space"/>
      <w:lvlText w:val="（%1）"/>
      <w:lvlJc w:val="left"/>
      <w:pPr>
        <w:ind w:left="0" w:firstLine="0"/>
      </w:pPr>
      <w:rPr>
        <w:rFonts w:hint="default"/>
        <w:b w:val="0"/>
        <w:lang w:val="en-US"/>
      </w:rPr>
    </w:lvl>
    <w:lvl w:ilvl="1" w:tentative="0">
      <w:start w:val="2"/>
      <w:numFmt w:val="decimalEnclosedCircle"/>
      <w:lvlText w:val="%2"/>
      <w:lvlJc w:val="left"/>
      <w:pPr>
        <w:ind w:left="1064" w:hanging="360"/>
      </w:pPr>
      <w:rPr>
        <w:rFonts w:hint="default" w:ascii="宋体" w:hAnsi="宋体"/>
        <w:color w:val="auto"/>
      </w:r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32132F02"/>
    <w:multiLevelType w:val="multilevel"/>
    <w:tmpl w:val="32132F02"/>
    <w:lvl w:ilvl="0" w:tentative="0">
      <w:start w:val="1"/>
      <w:numFmt w:val="decimal"/>
      <w:lvlText w:val="2.31.%1"/>
      <w:lvlJc w:val="left"/>
      <w:pPr>
        <w:tabs>
          <w:tab w:val="left" w:pos="0"/>
        </w:tabs>
        <w:ind w:left="840" w:hanging="840"/>
      </w:pPr>
      <w:rPr>
        <w:rFonts w:hint="eastAsia"/>
      </w:rPr>
    </w:lvl>
    <w:lvl w:ilvl="1" w:tentative="0">
      <w:start w:val="3"/>
      <w:numFmt w:val="japaneseCounting"/>
      <w:lvlText w:val="第%2章"/>
      <w:lvlJc w:val="left"/>
      <w:pPr>
        <w:tabs>
          <w:tab w:val="left" w:pos="1500"/>
        </w:tabs>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C1060C9"/>
    <w:multiLevelType w:val="multilevel"/>
    <w:tmpl w:val="3C1060C9"/>
    <w:lvl w:ilvl="0" w:tentative="0">
      <w:start w:val="1"/>
      <w:numFmt w:val="decimal"/>
      <w:lvlText w:val="2.25.%1"/>
      <w:lvlJc w:val="left"/>
      <w:pPr>
        <w:tabs>
          <w:tab w:val="left" w:pos="0"/>
        </w:tabs>
        <w:ind w:left="840" w:hanging="840"/>
      </w:pPr>
      <w:rPr>
        <w:rFonts w:hint="eastAsia"/>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F316DE4"/>
    <w:multiLevelType w:val="multilevel"/>
    <w:tmpl w:val="3F316DE4"/>
    <w:lvl w:ilvl="0" w:tentative="0">
      <w:start w:val="1"/>
      <w:numFmt w:val="decimal"/>
      <w:pStyle w:val="69"/>
      <w:lvlText w:val="2.1.%1"/>
      <w:lvlJc w:val="left"/>
      <w:pPr>
        <w:tabs>
          <w:tab w:val="left" w:pos="0"/>
        </w:tabs>
        <w:ind w:left="425" w:hanging="425"/>
      </w:pPr>
      <w:rPr>
        <w:rFonts w:hint="eastAsia"/>
      </w:rPr>
    </w:lvl>
    <w:lvl w:ilvl="1" w:tentative="0">
      <w:start w:val="1"/>
      <w:numFmt w:val="decimal"/>
      <w:lvlText w:val="2.%2 "/>
      <w:lvlJc w:val="left"/>
      <w:pPr>
        <w:tabs>
          <w:tab w:val="left" w:pos="0"/>
        </w:tabs>
        <w:ind w:left="567" w:hanging="567"/>
      </w:pPr>
      <w:rPr>
        <w:rFonts w:hint="eastAsia"/>
      </w:rPr>
    </w:lvl>
    <w:lvl w:ilvl="2" w:tentative="0">
      <w:start w:val="1"/>
      <w:numFmt w:val="decimal"/>
      <w:lvlText w:val="%1.%2.%3."/>
      <w:lvlJc w:val="left"/>
      <w:pPr>
        <w:tabs>
          <w:tab w:val="left" w:pos="0"/>
        </w:tabs>
        <w:ind w:left="709" w:hanging="709"/>
      </w:pPr>
      <w:rPr>
        <w:rFonts w:hint="eastAsia"/>
      </w:rPr>
    </w:lvl>
    <w:lvl w:ilvl="3" w:tentative="0">
      <w:start w:val="1"/>
      <w:numFmt w:val="decimal"/>
      <w:lvlText w:val="%1.%2.%3.%4."/>
      <w:lvlJc w:val="left"/>
      <w:pPr>
        <w:tabs>
          <w:tab w:val="left" w:pos="0"/>
        </w:tabs>
        <w:ind w:left="851" w:hanging="851"/>
      </w:pPr>
      <w:rPr>
        <w:rFonts w:hint="eastAsia"/>
      </w:rPr>
    </w:lvl>
    <w:lvl w:ilvl="4" w:tentative="0">
      <w:start w:val="1"/>
      <w:numFmt w:val="decimal"/>
      <w:lvlText w:val="%1.%2.%3.%4.%5."/>
      <w:lvlJc w:val="left"/>
      <w:pPr>
        <w:tabs>
          <w:tab w:val="left" w:pos="0"/>
        </w:tabs>
        <w:ind w:left="992" w:hanging="992"/>
      </w:pPr>
      <w:rPr>
        <w:rFonts w:hint="eastAsia"/>
      </w:rPr>
    </w:lvl>
    <w:lvl w:ilvl="5" w:tentative="0">
      <w:start w:val="1"/>
      <w:numFmt w:val="decimal"/>
      <w:lvlText w:val="%1.%2.%3.%4.%5.%6."/>
      <w:lvlJc w:val="left"/>
      <w:pPr>
        <w:tabs>
          <w:tab w:val="left" w:pos="0"/>
        </w:tabs>
        <w:ind w:left="1134" w:hanging="1134"/>
      </w:pPr>
      <w:rPr>
        <w:rFonts w:hint="eastAsia"/>
      </w:rPr>
    </w:lvl>
    <w:lvl w:ilvl="6" w:tentative="0">
      <w:start w:val="1"/>
      <w:numFmt w:val="decimal"/>
      <w:lvlText w:val="%1.%2.%3.%4.%5.%6.%7."/>
      <w:lvlJc w:val="left"/>
      <w:pPr>
        <w:tabs>
          <w:tab w:val="left" w:pos="0"/>
        </w:tabs>
        <w:ind w:left="1276" w:hanging="1276"/>
      </w:pPr>
      <w:rPr>
        <w:rFonts w:hint="eastAsia"/>
      </w:rPr>
    </w:lvl>
    <w:lvl w:ilvl="7" w:tentative="0">
      <w:start w:val="1"/>
      <w:numFmt w:val="decimal"/>
      <w:lvlText w:val="%1.%2.%3.%4.%5.%6.%7.%8."/>
      <w:lvlJc w:val="left"/>
      <w:pPr>
        <w:tabs>
          <w:tab w:val="left" w:pos="0"/>
        </w:tabs>
        <w:ind w:left="1418" w:hanging="1418"/>
      </w:pPr>
      <w:rPr>
        <w:rFonts w:hint="eastAsia"/>
      </w:rPr>
    </w:lvl>
    <w:lvl w:ilvl="8" w:tentative="0">
      <w:start w:val="1"/>
      <w:numFmt w:val="decimal"/>
      <w:lvlText w:val="%1.%2.%3.%4.%5.%6.%7.%8.%9."/>
      <w:lvlJc w:val="left"/>
      <w:pPr>
        <w:tabs>
          <w:tab w:val="left" w:pos="0"/>
        </w:tabs>
        <w:ind w:left="1559" w:hanging="1559"/>
      </w:pPr>
      <w:rPr>
        <w:rFonts w:hint="eastAsia"/>
      </w:rPr>
    </w:lvl>
  </w:abstractNum>
  <w:abstractNum w:abstractNumId="15">
    <w:nsid w:val="45701CD3"/>
    <w:multiLevelType w:val="multilevel"/>
    <w:tmpl w:val="45701CD3"/>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45977150"/>
    <w:multiLevelType w:val="multilevel"/>
    <w:tmpl w:val="45977150"/>
    <w:lvl w:ilvl="0" w:tentative="0">
      <w:start w:val="1"/>
      <w:numFmt w:val="decimal"/>
      <w:lvlText w:val="2.21.%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DAC762D"/>
    <w:multiLevelType w:val="multilevel"/>
    <w:tmpl w:val="4DAC762D"/>
    <w:lvl w:ilvl="0" w:tentative="0">
      <w:start w:val="1"/>
      <w:numFmt w:val="chineseCountingThousand"/>
      <w:pStyle w:val="6"/>
      <w:suff w:val="space"/>
      <w:lvlText w:val="第%1章"/>
      <w:lvlJc w:val="center"/>
      <w:pPr>
        <w:ind w:left="1839" w:firstLine="288"/>
      </w:pPr>
      <w:rPr>
        <w:rFonts w:hint="eastAsia"/>
        <w:lang w:val="en-US"/>
      </w:rPr>
    </w:lvl>
    <w:lvl w:ilvl="1" w:tentative="0">
      <w:start w:val="1"/>
      <w:numFmt w:val="decimal"/>
      <w:pStyle w:val="7"/>
      <w:isLgl/>
      <w:suff w:val="space"/>
      <w:lvlText w:val="%1.%2"/>
      <w:lvlJc w:val="left"/>
      <w:pPr>
        <w:ind w:left="0" w:firstLine="0"/>
      </w:pPr>
      <w:rPr>
        <w:rFonts w:hint="eastAsia"/>
        <w:b w:val="0"/>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8">
    <w:nsid w:val="54FF7D1E"/>
    <w:multiLevelType w:val="multilevel"/>
    <w:tmpl w:val="54FF7D1E"/>
    <w:lvl w:ilvl="0" w:tentative="0">
      <w:start w:val="1"/>
      <w:numFmt w:val="decimal"/>
      <w:lvlText w:val="2.33.%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58503C27"/>
    <w:multiLevelType w:val="multilevel"/>
    <w:tmpl w:val="58503C27"/>
    <w:lvl w:ilvl="0" w:tentative="0">
      <w:start w:val="1"/>
      <w:numFmt w:val="chineseCountingThousand"/>
      <w:suff w:val="space"/>
      <w:lvlText w:val="%1、"/>
      <w:lvlJc w:val="left"/>
      <w:pPr>
        <w:ind w:left="0" w:firstLine="0"/>
      </w:pPr>
      <w:rPr>
        <w:rFonts w:hint="eastAsia"/>
        <w:b/>
        <w:lang w:val="en-US"/>
      </w:rPr>
    </w:lvl>
    <w:lvl w:ilvl="1" w:tentative="0">
      <w:start w:val="1"/>
      <w:numFmt w:val="decimal"/>
      <w:lvlText w:val="（%2）"/>
      <w:lvlJc w:val="left"/>
      <w:pPr>
        <w:ind w:left="1539" w:hanging="945"/>
      </w:pPr>
      <w:rPr>
        <w:rFonts w:hint="default"/>
      </w:rPr>
    </w:lvl>
    <w:lvl w:ilvl="2" w:tentative="0">
      <w:start w:val="1"/>
      <w:numFmt w:val="lowerRoman"/>
      <w:lvlText w:val="%3."/>
      <w:lvlJc w:val="right"/>
      <w:pPr>
        <w:ind w:left="1434" w:hanging="420"/>
      </w:pPr>
    </w:lvl>
    <w:lvl w:ilvl="3" w:tentative="0">
      <w:start w:val="1"/>
      <w:numFmt w:val="decimal"/>
      <w:lvlText w:val="%4."/>
      <w:lvlJc w:val="left"/>
      <w:pPr>
        <w:ind w:left="1854" w:hanging="420"/>
      </w:pPr>
    </w:lvl>
    <w:lvl w:ilvl="4" w:tentative="0">
      <w:start w:val="1"/>
      <w:numFmt w:val="lowerLetter"/>
      <w:lvlText w:val="%5)"/>
      <w:lvlJc w:val="left"/>
      <w:pPr>
        <w:ind w:left="2274" w:hanging="420"/>
      </w:pPr>
    </w:lvl>
    <w:lvl w:ilvl="5" w:tentative="0">
      <w:start w:val="1"/>
      <w:numFmt w:val="lowerRoman"/>
      <w:lvlText w:val="%6."/>
      <w:lvlJc w:val="right"/>
      <w:pPr>
        <w:ind w:left="2694" w:hanging="420"/>
      </w:pPr>
    </w:lvl>
    <w:lvl w:ilvl="6" w:tentative="0">
      <w:start w:val="1"/>
      <w:numFmt w:val="decimal"/>
      <w:lvlText w:val="%7."/>
      <w:lvlJc w:val="left"/>
      <w:pPr>
        <w:ind w:left="3114" w:hanging="420"/>
      </w:pPr>
    </w:lvl>
    <w:lvl w:ilvl="7" w:tentative="0">
      <w:start w:val="1"/>
      <w:numFmt w:val="lowerLetter"/>
      <w:lvlText w:val="%8)"/>
      <w:lvlJc w:val="left"/>
      <w:pPr>
        <w:ind w:left="3534" w:hanging="420"/>
      </w:pPr>
    </w:lvl>
    <w:lvl w:ilvl="8" w:tentative="0">
      <w:start w:val="1"/>
      <w:numFmt w:val="lowerRoman"/>
      <w:lvlText w:val="%9."/>
      <w:lvlJc w:val="right"/>
      <w:pPr>
        <w:ind w:left="3954" w:hanging="420"/>
      </w:pPr>
    </w:lvl>
  </w:abstractNum>
  <w:abstractNum w:abstractNumId="21">
    <w:nsid w:val="5BA6392F"/>
    <w:multiLevelType w:val="multilevel"/>
    <w:tmpl w:val="5BA6392F"/>
    <w:lvl w:ilvl="0" w:tentative="0">
      <w:start w:val="1"/>
      <w:numFmt w:val="decimal"/>
      <w:lvlText w:val="2.22.%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F82490D"/>
    <w:multiLevelType w:val="multilevel"/>
    <w:tmpl w:val="5F82490D"/>
    <w:lvl w:ilvl="0" w:tentative="0">
      <w:start w:val="1"/>
      <w:numFmt w:val="decimal"/>
      <w:lvlText w:val="2.29.%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5C21667"/>
    <w:multiLevelType w:val="multilevel"/>
    <w:tmpl w:val="65C21667"/>
    <w:lvl w:ilvl="0" w:tentative="0">
      <w:start w:val="1"/>
      <w:numFmt w:val="bullet"/>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24">
    <w:nsid w:val="66DF4953"/>
    <w:multiLevelType w:val="multilevel"/>
    <w:tmpl w:val="66DF4953"/>
    <w:lvl w:ilvl="0" w:tentative="0">
      <w:start w:val="1"/>
      <w:numFmt w:val="decimal"/>
      <w:lvlText w:val="2.28.%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7834AD9"/>
    <w:multiLevelType w:val="multilevel"/>
    <w:tmpl w:val="67834AD9"/>
    <w:lvl w:ilvl="0" w:tentative="0">
      <w:start w:val="1"/>
      <w:numFmt w:val="decimal"/>
      <w:lvlText w:val="2.24.%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CB6613C"/>
    <w:multiLevelType w:val="multilevel"/>
    <w:tmpl w:val="6CB6613C"/>
    <w:lvl w:ilvl="0" w:tentative="0">
      <w:start w:val="1"/>
      <w:numFmt w:val="decimal"/>
      <w:suff w:val="space"/>
      <w:lvlText w:val="（%1）"/>
      <w:lvlJc w:val="left"/>
      <w:pPr>
        <w:ind w:left="0" w:firstLine="0"/>
      </w:pPr>
      <w:rPr>
        <w:rFonts w:hint="default"/>
        <w:b w:val="0"/>
        <w:lang w:val="en-US"/>
      </w:rPr>
    </w:lvl>
    <w:lvl w:ilvl="1" w:tentative="0">
      <w:start w:val="2"/>
      <w:numFmt w:val="decimalEnclosedCircle"/>
      <w:lvlText w:val="%2"/>
      <w:lvlJc w:val="left"/>
      <w:pPr>
        <w:ind w:left="1064" w:hanging="360"/>
      </w:pPr>
      <w:rPr>
        <w:rFonts w:hint="default" w:ascii="宋体" w:hAnsi="宋体"/>
        <w:color w:val="auto"/>
      </w:r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7">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4"/>
      <w:suff w:val="nothing"/>
      <w:lvlText w:val="%1%2　"/>
      <w:lvlJc w:val="left"/>
      <w:pPr>
        <w:ind w:left="0" w:firstLine="0"/>
      </w:pPr>
      <w:rPr>
        <w:rFonts w:hint="eastAsia" w:ascii="黑体" w:hAnsi="Times New Roman" w:eastAsia="黑体"/>
        <w:b w:val="0"/>
        <w:i w:val="0"/>
        <w:sz w:val="21"/>
      </w:rPr>
    </w:lvl>
    <w:lvl w:ilvl="2" w:tentative="0">
      <w:start w:val="1"/>
      <w:numFmt w:val="decimal"/>
      <w:pStyle w:val="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DB28E8"/>
    <w:multiLevelType w:val="multilevel"/>
    <w:tmpl w:val="6DDB28E8"/>
    <w:lvl w:ilvl="0" w:tentative="0">
      <w:start w:val="1"/>
      <w:numFmt w:val="decimal"/>
      <w:lvlText w:val="2.10.%1"/>
      <w:lvlJc w:val="left"/>
      <w:pPr>
        <w:tabs>
          <w:tab w:val="left" w:pos="0"/>
        </w:tabs>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0925DBF"/>
    <w:multiLevelType w:val="multilevel"/>
    <w:tmpl w:val="70925DBF"/>
    <w:lvl w:ilvl="0" w:tentative="0">
      <w:start w:val="1"/>
      <w:numFmt w:val="decimal"/>
      <w:lvlText w:val="2.20.%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3137322"/>
    <w:multiLevelType w:val="multilevel"/>
    <w:tmpl w:val="73137322"/>
    <w:lvl w:ilvl="0" w:tentative="0">
      <w:start w:val="1"/>
      <w:numFmt w:val="decimal"/>
      <w:lvlText w:val="2.15.%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8D84AB3"/>
    <w:multiLevelType w:val="multilevel"/>
    <w:tmpl w:val="78D84AB3"/>
    <w:lvl w:ilvl="0" w:tentative="0">
      <w:start w:val="1"/>
      <w:numFmt w:val="decimal"/>
      <w:suff w:val="space"/>
      <w:lvlText w:val="（%1）"/>
      <w:lvlJc w:val="left"/>
      <w:pPr>
        <w:ind w:left="0" w:firstLine="0"/>
      </w:pPr>
      <w:rPr>
        <w:rFonts w:hint="default"/>
        <w:b w:val="0"/>
        <w:lang w:val="en-US"/>
      </w:rPr>
    </w:lvl>
    <w:lvl w:ilvl="1" w:tentative="0">
      <w:start w:val="2"/>
      <w:numFmt w:val="decimalEnclosedCircle"/>
      <w:lvlText w:val="%2"/>
      <w:lvlJc w:val="left"/>
      <w:pPr>
        <w:ind w:left="1064" w:hanging="360"/>
      </w:pPr>
      <w:rPr>
        <w:rFonts w:hint="default" w:ascii="宋体" w:hAnsi="宋体"/>
        <w:color w:val="auto"/>
      </w:r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32">
    <w:nsid w:val="7C604472"/>
    <w:multiLevelType w:val="multilevel"/>
    <w:tmpl w:val="7C604472"/>
    <w:lvl w:ilvl="0" w:tentative="0">
      <w:start w:val="1"/>
      <w:numFmt w:val="decimal"/>
      <w:lvlText w:val="2.23.%1"/>
      <w:lvlJc w:val="left"/>
      <w:pPr>
        <w:tabs>
          <w:tab w:val="left" w:pos="0"/>
        </w:tabs>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FD730B1"/>
    <w:multiLevelType w:val="multilevel"/>
    <w:tmpl w:val="7FD730B1"/>
    <w:lvl w:ilvl="0" w:tentative="0">
      <w:start w:val="1"/>
      <w:numFmt w:val="decimal"/>
      <w:lvlText w:val="2.11.%1"/>
      <w:lvlJc w:val="left"/>
      <w:pPr>
        <w:tabs>
          <w:tab w:val="left" w:pos="0"/>
        </w:tabs>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27"/>
  </w:num>
  <w:num w:numId="3">
    <w:abstractNumId w:val="14"/>
  </w:num>
  <w:num w:numId="4">
    <w:abstractNumId w:val="20"/>
  </w:num>
  <w:num w:numId="5">
    <w:abstractNumId w:val="0"/>
  </w:num>
  <w:num w:numId="6">
    <w:abstractNumId w:val="4"/>
  </w:num>
  <w:num w:numId="7">
    <w:abstractNumId w:val="1"/>
  </w:num>
  <w:num w:numId="8">
    <w:abstractNumId w:val="10"/>
  </w:num>
  <w:num w:numId="9">
    <w:abstractNumId w:val="28"/>
  </w:num>
  <w:num w:numId="10">
    <w:abstractNumId w:val="33"/>
  </w:num>
  <w:num w:numId="11">
    <w:abstractNumId w:val="30"/>
  </w:num>
  <w:num w:numId="12">
    <w:abstractNumId w:val="15"/>
  </w:num>
  <w:num w:numId="13">
    <w:abstractNumId w:val="8"/>
  </w:num>
  <w:num w:numId="14">
    <w:abstractNumId w:val="6"/>
  </w:num>
  <w:num w:numId="15">
    <w:abstractNumId w:val="29"/>
  </w:num>
  <w:num w:numId="16">
    <w:abstractNumId w:val="16"/>
  </w:num>
  <w:num w:numId="17">
    <w:abstractNumId w:val="21"/>
  </w:num>
  <w:num w:numId="18">
    <w:abstractNumId w:val="5"/>
  </w:num>
  <w:num w:numId="19">
    <w:abstractNumId w:val="32"/>
  </w:num>
  <w:num w:numId="20">
    <w:abstractNumId w:val="25"/>
  </w:num>
  <w:num w:numId="21">
    <w:abstractNumId w:val="13"/>
  </w:num>
  <w:num w:numId="22">
    <w:abstractNumId w:val="9"/>
  </w:num>
  <w:num w:numId="23">
    <w:abstractNumId w:val="24"/>
  </w:num>
  <w:num w:numId="24">
    <w:abstractNumId w:val="22"/>
  </w:num>
  <w:num w:numId="25">
    <w:abstractNumId w:val="7"/>
  </w:num>
  <w:num w:numId="26">
    <w:abstractNumId w:val="12"/>
  </w:num>
  <w:num w:numId="27">
    <w:abstractNumId w:val="18"/>
  </w:num>
  <w:num w:numId="28">
    <w:abstractNumId w:val="19"/>
  </w:num>
  <w:num w:numId="29">
    <w:abstractNumId w:val="3"/>
  </w:num>
  <w:num w:numId="30">
    <w:abstractNumId w:val="11"/>
  </w:num>
  <w:num w:numId="31">
    <w:abstractNumId w:val="23"/>
  </w:num>
  <w:num w:numId="32">
    <w:abstractNumId w:val="31"/>
  </w:num>
  <w:num w:numId="33">
    <w:abstractNumId w:val="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368"/>
  <w:drawingGridHorizontalSpacing w:val="105"/>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YjBmMTNkMTdkNjA4OWI2NjRkYzVkYjcxODc4NjQifQ=="/>
  </w:docVars>
  <w:rsids>
    <w:rsidRoot w:val="00C31D55"/>
    <w:rsid w:val="0000165B"/>
    <w:rsid w:val="00001826"/>
    <w:rsid w:val="00002668"/>
    <w:rsid w:val="000029E8"/>
    <w:rsid w:val="000055AC"/>
    <w:rsid w:val="00005789"/>
    <w:rsid w:val="00006DBC"/>
    <w:rsid w:val="00010E8E"/>
    <w:rsid w:val="00010F17"/>
    <w:rsid w:val="00011CD2"/>
    <w:rsid w:val="00011D7E"/>
    <w:rsid w:val="00011F58"/>
    <w:rsid w:val="00012767"/>
    <w:rsid w:val="00012E26"/>
    <w:rsid w:val="00014171"/>
    <w:rsid w:val="0001551E"/>
    <w:rsid w:val="00016CEA"/>
    <w:rsid w:val="0001725C"/>
    <w:rsid w:val="00017A4D"/>
    <w:rsid w:val="00020273"/>
    <w:rsid w:val="00020929"/>
    <w:rsid w:val="00020E6D"/>
    <w:rsid w:val="000224F7"/>
    <w:rsid w:val="000227C5"/>
    <w:rsid w:val="00024C77"/>
    <w:rsid w:val="00025BC8"/>
    <w:rsid w:val="00033EFE"/>
    <w:rsid w:val="00034705"/>
    <w:rsid w:val="00035296"/>
    <w:rsid w:val="000352DD"/>
    <w:rsid w:val="000365EA"/>
    <w:rsid w:val="00037097"/>
    <w:rsid w:val="00040F17"/>
    <w:rsid w:val="00042584"/>
    <w:rsid w:val="00042FD8"/>
    <w:rsid w:val="000432B5"/>
    <w:rsid w:val="000437F3"/>
    <w:rsid w:val="000438F1"/>
    <w:rsid w:val="00047714"/>
    <w:rsid w:val="00050729"/>
    <w:rsid w:val="00053058"/>
    <w:rsid w:val="00053A52"/>
    <w:rsid w:val="0005497F"/>
    <w:rsid w:val="00055597"/>
    <w:rsid w:val="00056D8B"/>
    <w:rsid w:val="00057398"/>
    <w:rsid w:val="000577B3"/>
    <w:rsid w:val="000578CD"/>
    <w:rsid w:val="0005799E"/>
    <w:rsid w:val="00057BCC"/>
    <w:rsid w:val="00060C6B"/>
    <w:rsid w:val="000618EA"/>
    <w:rsid w:val="00061DD0"/>
    <w:rsid w:val="000621BD"/>
    <w:rsid w:val="00062477"/>
    <w:rsid w:val="00063594"/>
    <w:rsid w:val="00065FAE"/>
    <w:rsid w:val="0006631C"/>
    <w:rsid w:val="00066626"/>
    <w:rsid w:val="00070275"/>
    <w:rsid w:val="00070290"/>
    <w:rsid w:val="00071DBA"/>
    <w:rsid w:val="000728EA"/>
    <w:rsid w:val="0007666E"/>
    <w:rsid w:val="00080C1A"/>
    <w:rsid w:val="00082069"/>
    <w:rsid w:val="00083045"/>
    <w:rsid w:val="00084E3F"/>
    <w:rsid w:val="00085EE2"/>
    <w:rsid w:val="00086347"/>
    <w:rsid w:val="00086F1C"/>
    <w:rsid w:val="00087538"/>
    <w:rsid w:val="00087FB8"/>
    <w:rsid w:val="00091E3D"/>
    <w:rsid w:val="00092C2E"/>
    <w:rsid w:val="00094D41"/>
    <w:rsid w:val="00096339"/>
    <w:rsid w:val="00096469"/>
    <w:rsid w:val="000A06F5"/>
    <w:rsid w:val="000A24B3"/>
    <w:rsid w:val="000A28DA"/>
    <w:rsid w:val="000A48AA"/>
    <w:rsid w:val="000A688C"/>
    <w:rsid w:val="000A7250"/>
    <w:rsid w:val="000A7D58"/>
    <w:rsid w:val="000B11A0"/>
    <w:rsid w:val="000B36D4"/>
    <w:rsid w:val="000B4916"/>
    <w:rsid w:val="000B5724"/>
    <w:rsid w:val="000B640A"/>
    <w:rsid w:val="000C160C"/>
    <w:rsid w:val="000C17AA"/>
    <w:rsid w:val="000C2742"/>
    <w:rsid w:val="000C29FA"/>
    <w:rsid w:val="000C3D44"/>
    <w:rsid w:val="000C489F"/>
    <w:rsid w:val="000C5934"/>
    <w:rsid w:val="000C5E4C"/>
    <w:rsid w:val="000C70D2"/>
    <w:rsid w:val="000D02BB"/>
    <w:rsid w:val="000D3662"/>
    <w:rsid w:val="000D5235"/>
    <w:rsid w:val="000D54F8"/>
    <w:rsid w:val="000D6614"/>
    <w:rsid w:val="000D6A2D"/>
    <w:rsid w:val="000D6E29"/>
    <w:rsid w:val="000D6FBE"/>
    <w:rsid w:val="000E5979"/>
    <w:rsid w:val="000E5C95"/>
    <w:rsid w:val="000E6277"/>
    <w:rsid w:val="000F1BA9"/>
    <w:rsid w:val="000F2D35"/>
    <w:rsid w:val="000F5C3F"/>
    <w:rsid w:val="000F5FE5"/>
    <w:rsid w:val="000F6FE1"/>
    <w:rsid w:val="001014D5"/>
    <w:rsid w:val="00105AA5"/>
    <w:rsid w:val="00105B57"/>
    <w:rsid w:val="001060EC"/>
    <w:rsid w:val="00106A2A"/>
    <w:rsid w:val="001075DA"/>
    <w:rsid w:val="0011219E"/>
    <w:rsid w:val="00112B45"/>
    <w:rsid w:val="00112D23"/>
    <w:rsid w:val="00113163"/>
    <w:rsid w:val="001135CE"/>
    <w:rsid w:val="00116DC0"/>
    <w:rsid w:val="00117CA9"/>
    <w:rsid w:val="00123B7D"/>
    <w:rsid w:val="00124678"/>
    <w:rsid w:val="0012786A"/>
    <w:rsid w:val="00127C4C"/>
    <w:rsid w:val="0013034C"/>
    <w:rsid w:val="0013062F"/>
    <w:rsid w:val="00131658"/>
    <w:rsid w:val="0013411C"/>
    <w:rsid w:val="001345BD"/>
    <w:rsid w:val="00136B87"/>
    <w:rsid w:val="0013763D"/>
    <w:rsid w:val="001404C4"/>
    <w:rsid w:val="001453C5"/>
    <w:rsid w:val="00146A53"/>
    <w:rsid w:val="00147621"/>
    <w:rsid w:val="00147FB5"/>
    <w:rsid w:val="00151447"/>
    <w:rsid w:val="00151F71"/>
    <w:rsid w:val="00151FAB"/>
    <w:rsid w:val="0015329D"/>
    <w:rsid w:val="00154B29"/>
    <w:rsid w:val="00154BF3"/>
    <w:rsid w:val="00155C01"/>
    <w:rsid w:val="00157313"/>
    <w:rsid w:val="001609CF"/>
    <w:rsid w:val="00161FB9"/>
    <w:rsid w:val="001623F1"/>
    <w:rsid w:val="00162672"/>
    <w:rsid w:val="00162D92"/>
    <w:rsid w:val="00163258"/>
    <w:rsid w:val="0016358D"/>
    <w:rsid w:val="001636DE"/>
    <w:rsid w:val="00165A58"/>
    <w:rsid w:val="00167A90"/>
    <w:rsid w:val="001716BB"/>
    <w:rsid w:val="00172446"/>
    <w:rsid w:val="001730DF"/>
    <w:rsid w:val="001738F1"/>
    <w:rsid w:val="001759B2"/>
    <w:rsid w:val="00175A52"/>
    <w:rsid w:val="00177676"/>
    <w:rsid w:val="001826A8"/>
    <w:rsid w:val="00182DFD"/>
    <w:rsid w:val="00186373"/>
    <w:rsid w:val="00186CC7"/>
    <w:rsid w:val="001920C1"/>
    <w:rsid w:val="00192639"/>
    <w:rsid w:val="00193956"/>
    <w:rsid w:val="00193D2E"/>
    <w:rsid w:val="001959D9"/>
    <w:rsid w:val="00195AC0"/>
    <w:rsid w:val="00195B58"/>
    <w:rsid w:val="001965D6"/>
    <w:rsid w:val="00197777"/>
    <w:rsid w:val="001A116E"/>
    <w:rsid w:val="001A1846"/>
    <w:rsid w:val="001A3E12"/>
    <w:rsid w:val="001A4766"/>
    <w:rsid w:val="001A5077"/>
    <w:rsid w:val="001A5082"/>
    <w:rsid w:val="001A5609"/>
    <w:rsid w:val="001A58F4"/>
    <w:rsid w:val="001A5AB4"/>
    <w:rsid w:val="001A5F66"/>
    <w:rsid w:val="001A60DB"/>
    <w:rsid w:val="001A6218"/>
    <w:rsid w:val="001A780A"/>
    <w:rsid w:val="001B1B6F"/>
    <w:rsid w:val="001B3F62"/>
    <w:rsid w:val="001B4EC8"/>
    <w:rsid w:val="001B5F1D"/>
    <w:rsid w:val="001B632F"/>
    <w:rsid w:val="001B6F56"/>
    <w:rsid w:val="001C00DC"/>
    <w:rsid w:val="001C3919"/>
    <w:rsid w:val="001C5180"/>
    <w:rsid w:val="001C60C1"/>
    <w:rsid w:val="001C6E87"/>
    <w:rsid w:val="001C7286"/>
    <w:rsid w:val="001D1377"/>
    <w:rsid w:val="001D23D9"/>
    <w:rsid w:val="001D2705"/>
    <w:rsid w:val="001D375F"/>
    <w:rsid w:val="001D6342"/>
    <w:rsid w:val="001D6C53"/>
    <w:rsid w:val="001D73F4"/>
    <w:rsid w:val="001E0DDB"/>
    <w:rsid w:val="001E16C1"/>
    <w:rsid w:val="001E371B"/>
    <w:rsid w:val="001E56B6"/>
    <w:rsid w:val="001E653F"/>
    <w:rsid w:val="001F1C2F"/>
    <w:rsid w:val="001F2993"/>
    <w:rsid w:val="001F2C6A"/>
    <w:rsid w:val="001F48E2"/>
    <w:rsid w:val="001F4E78"/>
    <w:rsid w:val="001F504F"/>
    <w:rsid w:val="001F6685"/>
    <w:rsid w:val="001F7C0B"/>
    <w:rsid w:val="001F7D77"/>
    <w:rsid w:val="00200232"/>
    <w:rsid w:val="00200BEA"/>
    <w:rsid w:val="00205532"/>
    <w:rsid w:val="002065EB"/>
    <w:rsid w:val="00206E0A"/>
    <w:rsid w:val="00207150"/>
    <w:rsid w:val="00207266"/>
    <w:rsid w:val="00207358"/>
    <w:rsid w:val="00211523"/>
    <w:rsid w:val="00212AE7"/>
    <w:rsid w:val="002133FD"/>
    <w:rsid w:val="00213B1C"/>
    <w:rsid w:val="002147AA"/>
    <w:rsid w:val="00220C69"/>
    <w:rsid w:val="00223BB5"/>
    <w:rsid w:val="002242BC"/>
    <w:rsid w:val="00224456"/>
    <w:rsid w:val="002247AC"/>
    <w:rsid w:val="0022501D"/>
    <w:rsid w:val="00226F02"/>
    <w:rsid w:val="00227DB7"/>
    <w:rsid w:val="002310F6"/>
    <w:rsid w:val="00233F18"/>
    <w:rsid w:val="00234495"/>
    <w:rsid w:val="0023456B"/>
    <w:rsid w:val="00235732"/>
    <w:rsid w:val="00237DAF"/>
    <w:rsid w:val="00240411"/>
    <w:rsid w:val="0024300F"/>
    <w:rsid w:val="002430DE"/>
    <w:rsid w:val="00243D41"/>
    <w:rsid w:val="0024425A"/>
    <w:rsid w:val="00244D52"/>
    <w:rsid w:val="00245CB4"/>
    <w:rsid w:val="0024680F"/>
    <w:rsid w:val="00247321"/>
    <w:rsid w:val="00247884"/>
    <w:rsid w:val="00247E4F"/>
    <w:rsid w:val="00250CB3"/>
    <w:rsid w:val="00253269"/>
    <w:rsid w:val="002556C1"/>
    <w:rsid w:val="00256494"/>
    <w:rsid w:val="00262084"/>
    <w:rsid w:val="00263946"/>
    <w:rsid w:val="002644C2"/>
    <w:rsid w:val="00267B75"/>
    <w:rsid w:val="00270E79"/>
    <w:rsid w:val="0027261D"/>
    <w:rsid w:val="00273181"/>
    <w:rsid w:val="00274ACC"/>
    <w:rsid w:val="00275488"/>
    <w:rsid w:val="00276170"/>
    <w:rsid w:val="00277361"/>
    <w:rsid w:val="00280046"/>
    <w:rsid w:val="002808C2"/>
    <w:rsid w:val="00281895"/>
    <w:rsid w:val="002818E3"/>
    <w:rsid w:val="00282C00"/>
    <w:rsid w:val="00282DFE"/>
    <w:rsid w:val="002830B5"/>
    <w:rsid w:val="00283364"/>
    <w:rsid w:val="002848E8"/>
    <w:rsid w:val="00285002"/>
    <w:rsid w:val="00285C67"/>
    <w:rsid w:val="00287C27"/>
    <w:rsid w:val="002912E5"/>
    <w:rsid w:val="002969DF"/>
    <w:rsid w:val="00296FB0"/>
    <w:rsid w:val="002977C3"/>
    <w:rsid w:val="002A31A6"/>
    <w:rsid w:val="002A4CAD"/>
    <w:rsid w:val="002A57B4"/>
    <w:rsid w:val="002A63D6"/>
    <w:rsid w:val="002B07CB"/>
    <w:rsid w:val="002B271D"/>
    <w:rsid w:val="002B65B6"/>
    <w:rsid w:val="002B76D8"/>
    <w:rsid w:val="002C0317"/>
    <w:rsid w:val="002C1A9F"/>
    <w:rsid w:val="002C1F7C"/>
    <w:rsid w:val="002C42F4"/>
    <w:rsid w:val="002C4DE8"/>
    <w:rsid w:val="002C5E76"/>
    <w:rsid w:val="002C607F"/>
    <w:rsid w:val="002C6F2C"/>
    <w:rsid w:val="002C7F8D"/>
    <w:rsid w:val="002D0673"/>
    <w:rsid w:val="002D0A28"/>
    <w:rsid w:val="002D13A1"/>
    <w:rsid w:val="002D19E5"/>
    <w:rsid w:val="002D2C4D"/>
    <w:rsid w:val="002D3C6B"/>
    <w:rsid w:val="002D3F7C"/>
    <w:rsid w:val="002D5AC3"/>
    <w:rsid w:val="002E5A36"/>
    <w:rsid w:val="002E7F6B"/>
    <w:rsid w:val="002F068B"/>
    <w:rsid w:val="002F0847"/>
    <w:rsid w:val="002F140F"/>
    <w:rsid w:val="002F2F0C"/>
    <w:rsid w:val="002F4C62"/>
    <w:rsid w:val="002F5548"/>
    <w:rsid w:val="002F5C10"/>
    <w:rsid w:val="002F7307"/>
    <w:rsid w:val="0030077D"/>
    <w:rsid w:val="003042D4"/>
    <w:rsid w:val="0030465C"/>
    <w:rsid w:val="00304BAC"/>
    <w:rsid w:val="00304D5D"/>
    <w:rsid w:val="00304D7F"/>
    <w:rsid w:val="0030539C"/>
    <w:rsid w:val="003066EF"/>
    <w:rsid w:val="00307CDB"/>
    <w:rsid w:val="003109D7"/>
    <w:rsid w:val="00311FBD"/>
    <w:rsid w:val="003133F1"/>
    <w:rsid w:val="00313D64"/>
    <w:rsid w:val="00314907"/>
    <w:rsid w:val="00316FEF"/>
    <w:rsid w:val="003179F8"/>
    <w:rsid w:val="00317C08"/>
    <w:rsid w:val="0032072E"/>
    <w:rsid w:val="003225E3"/>
    <w:rsid w:val="00323974"/>
    <w:rsid w:val="00324A2F"/>
    <w:rsid w:val="00325CE2"/>
    <w:rsid w:val="003305F0"/>
    <w:rsid w:val="00330DB1"/>
    <w:rsid w:val="00331D34"/>
    <w:rsid w:val="00332EBF"/>
    <w:rsid w:val="003336F4"/>
    <w:rsid w:val="003342A4"/>
    <w:rsid w:val="003350E5"/>
    <w:rsid w:val="00340248"/>
    <w:rsid w:val="00342CA6"/>
    <w:rsid w:val="00343692"/>
    <w:rsid w:val="00343793"/>
    <w:rsid w:val="003441A3"/>
    <w:rsid w:val="0034452F"/>
    <w:rsid w:val="00345331"/>
    <w:rsid w:val="003463A6"/>
    <w:rsid w:val="00350958"/>
    <w:rsid w:val="00350EC5"/>
    <w:rsid w:val="003526DD"/>
    <w:rsid w:val="00352D6D"/>
    <w:rsid w:val="00353506"/>
    <w:rsid w:val="00356B6A"/>
    <w:rsid w:val="003574EF"/>
    <w:rsid w:val="00360BEE"/>
    <w:rsid w:val="003613B1"/>
    <w:rsid w:val="00361CD2"/>
    <w:rsid w:val="00363BAE"/>
    <w:rsid w:val="00363D4F"/>
    <w:rsid w:val="0036480C"/>
    <w:rsid w:val="00365039"/>
    <w:rsid w:val="003653EE"/>
    <w:rsid w:val="0036572F"/>
    <w:rsid w:val="003675C7"/>
    <w:rsid w:val="00370088"/>
    <w:rsid w:val="0037226C"/>
    <w:rsid w:val="003732E2"/>
    <w:rsid w:val="00374A9F"/>
    <w:rsid w:val="00374FD7"/>
    <w:rsid w:val="00375173"/>
    <w:rsid w:val="00375782"/>
    <w:rsid w:val="003772B0"/>
    <w:rsid w:val="00380762"/>
    <w:rsid w:val="00380A80"/>
    <w:rsid w:val="003816F1"/>
    <w:rsid w:val="00381F8E"/>
    <w:rsid w:val="0038337F"/>
    <w:rsid w:val="0038391E"/>
    <w:rsid w:val="00384CFA"/>
    <w:rsid w:val="00385175"/>
    <w:rsid w:val="00387449"/>
    <w:rsid w:val="00387BE1"/>
    <w:rsid w:val="00395628"/>
    <w:rsid w:val="003966A4"/>
    <w:rsid w:val="00396D2C"/>
    <w:rsid w:val="003A0269"/>
    <w:rsid w:val="003A22F2"/>
    <w:rsid w:val="003A2A7F"/>
    <w:rsid w:val="003A3098"/>
    <w:rsid w:val="003A4129"/>
    <w:rsid w:val="003A61A5"/>
    <w:rsid w:val="003A61E3"/>
    <w:rsid w:val="003A6F96"/>
    <w:rsid w:val="003A7B17"/>
    <w:rsid w:val="003B0B7B"/>
    <w:rsid w:val="003B0E45"/>
    <w:rsid w:val="003B1D0C"/>
    <w:rsid w:val="003B3BE1"/>
    <w:rsid w:val="003B3BED"/>
    <w:rsid w:val="003B4431"/>
    <w:rsid w:val="003B5210"/>
    <w:rsid w:val="003B5605"/>
    <w:rsid w:val="003B5EB6"/>
    <w:rsid w:val="003B6D44"/>
    <w:rsid w:val="003B7A81"/>
    <w:rsid w:val="003C1CA7"/>
    <w:rsid w:val="003C51E0"/>
    <w:rsid w:val="003C61E9"/>
    <w:rsid w:val="003C7561"/>
    <w:rsid w:val="003C7928"/>
    <w:rsid w:val="003C7C54"/>
    <w:rsid w:val="003D063B"/>
    <w:rsid w:val="003D123D"/>
    <w:rsid w:val="003D1E0B"/>
    <w:rsid w:val="003D1EFA"/>
    <w:rsid w:val="003D2EF6"/>
    <w:rsid w:val="003D41C8"/>
    <w:rsid w:val="003D568F"/>
    <w:rsid w:val="003D59E0"/>
    <w:rsid w:val="003D5B77"/>
    <w:rsid w:val="003E10C1"/>
    <w:rsid w:val="003E5B9A"/>
    <w:rsid w:val="003E794B"/>
    <w:rsid w:val="003F1183"/>
    <w:rsid w:val="003F1E6C"/>
    <w:rsid w:val="003F360C"/>
    <w:rsid w:val="003F60F1"/>
    <w:rsid w:val="003F6EBA"/>
    <w:rsid w:val="00400138"/>
    <w:rsid w:val="004007A1"/>
    <w:rsid w:val="004011D2"/>
    <w:rsid w:val="004055F1"/>
    <w:rsid w:val="00407BD1"/>
    <w:rsid w:val="00410A7C"/>
    <w:rsid w:val="00411B87"/>
    <w:rsid w:val="0041267C"/>
    <w:rsid w:val="00412855"/>
    <w:rsid w:val="00414C51"/>
    <w:rsid w:val="004151B4"/>
    <w:rsid w:val="004166D8"/>
    <w:rsid w:val="00420047"/>
    <w:rsid w:val="00420294"/>
    <w:rsid w:val="004223E1"/>
    <w:rsid w:val="004226C7"/>
    <w:rsid w:val="00423970"/>
    <w:rsid w:val="00426B96"/>
    <w:rsid w:val="00426FB5"/>
    <w:rsid w:val="00427797"/>
    <w:rsid w:val="0043002B"/>
    <w:rsid w:val="00430A71"/>
    <w:rsid w:val="004369D4"/>
    <w:rsid w:val="00440AA3"/>
    <w:rsid w:val="004416B7"/>
    <w:rsid w:val="00441BA6"/>
    <w:rsid w:val="004454E2"/>
    <w:rsid w:val="004463F2"/>
    <w:rsid w:val="0044676E"/>
    <w:rsid w:val="004472C3"/>
    <w:rsid w:val="00450D05"/>
    <w:rsid w:val="0045161D"/>
    <w:rsid w:val="004525B6"/>
    <w:rsid w:val="00453075"/>
    <w:rsid w:val="0045499E"/>
    <w:rsid w:val="00460838"/>
    <w:rsid w:val="004611AD"/>
    <w:rsid w:val="00461ECA"/>
    <w:rsid w:val="00463598"/>
    <w:rsid w:val="00465354"/>
    <w:rsid w:val="004663B1"/>
    <w:rsid w:val="00466A35"/>
    <w:rsid w:val="00466DB6"/>
    <w:rsid w:val="00467FDA"/>
    <w:rsid w:val="00470024"/>
    <w:rsid w:val="00473658"/>
    <w:rsid w:val="00474C12"/>
    <w:rsid w:val="00476577"/>
    <w:rsid w:val="004765C4"/>
    <w:rsid w:val="00480BA0"/>
    <w:rsid w:val="00482693"/>
    <w:rsid w:val="00483653"/>
    <w:rsid w:val="00484086"/>
    <w:rsid w:val="0048667A"/>
    <w:rsid w:val="00486A07"/>
    <w:rsid w:val="00486AEA"/>
    <w:rsid w:val="004917CD"/>
    <w:rsid w:val="00492A51"/>
    <w:rsid w:val="00493168"/>
    <w:rsid w:val="00493625"/>
    <w:rsid w:val="00494435"/>
    <w:rsid w:val="00495459"/>
    <w:rsid w:val="0049659C"/>
    <w:rsid w:val="004A0AAD"/>
    <w:rsid w:val="004A26D1"/>
    <w:rsid w:val="004A2717"/>
    <w:rsid w:val="004A4B59"/>
    <w:rsid w:val="004A4E12"/>
    <w:rsid w:val="004A51B2"/>
    <w:rsid w:val="004B1685"/>
    <w:rsid w:val="004B19C9"/>
    <w:rsid w:val="004B1AF0"/>
    <w:rsid w:val="004B3224"/>
    <w:rsid w:val="004B3E69"/>
    <w:rsid w:val="004B4437"/>
    <w:rsid w:val="004B4B2C"/>
    <w:rsid w:val="004B5378"/>
    <w:rsid w:val="004B598A"/>
    <w:rsid w:val="004C180A"/>
    <w:rsid w:val="004C2DC6"/>
    <w:rsid w:val="004C2E3D"/>
    <w:rsid w:val="004C3243"/>
    <w:rsid w:val="004C444B"/>
    <w:rsid w:val="004C480A"/>
    <w:rsid w:val="004C48F0"/>
    <w:rsid w:val="004C4A9A"/>
    <w:rsid w:val="004C6542"/>
    <w:rsid w:val="004D0B16"/>
    <w:rsid w:val="004D0C03"/>
    <w:rsid w:val="004D0FD1"/>
    <w:rsid w:val="004D1F26"/>
    <w:rsid w:val="004D3093"/>
    <w:rsid w:val="004D4E05"/>
    <w:rsid w:val="004D5644"/>
    <w:rsid w:val="004D7389"/>
    <w:rsid w:val="004E0B27"/>
    <w:rsid w:val="004E360A"/>
    <w:rsid w:val="004E46CA"/>
    <w:rsid w:val="004E75CF"/>
    <w:rsid w:val="004F1E70"/>
    <w:rsid w:val="004F3BF0"/>
    <w:rsid w:val="004F3C3B"/>
    <w:rsid w:val="004F3DD9"/>
    <w:rsid w:val="004F465B"/>
    <w:rsid w:val="004F50E5"/>
    <w:rsid w:val="004F5747"/>
    <w:rsid w:val="004F5DA2"/>
    <w:rsid w:val="00500F3B"/>
    <w:rsid w:val="005018B4"/>
    <w:rsid w:val="00501BCD"/>
    <w:rsid w:val="005026F2"/>
    <w:rsid w:val="00502E90"/>
    <w:rsid w:val="005043A5"/>
    <w:rsid w:val="005058EC"/>
    <w:rsid w:val="0050609C"/>
    <w:rsid w:val="00510182"/>
    <w:rsid w:val="00510D2F"/>
    <w:rsid w:val="00511842"/>
    <w:rsid w:val="00513C97"/>
    <w:rsid w:val="005140BE"/>
    <w:rsid w:val="00514A78"/>
    <w:rsid w:val="0051562E"/>
    <w:rsid w:val="00515C12"/>
    <w:rsid w:val="005172FF"/>
    <w:rsid w:val="00520B2D"/>
    <w:rsid w:val="00522632"/>
    <w:rsid w:val="00524463"/>
    <w:rsid w:val="00524774"/>
    <w:rsid w:val="00525620"/>
    <w:rsid w:val="005311D5"/>
    <w:rsid w:val="00532CA9"/>
    <w:rsid w:val="00532F29"/>
    <w:rsid w:val="00533254"/>
    <w:rsid w:val="0053395D"/>
    <w:rsid w:val="0053413A"/>
    <w:rsid w:val="0053660B"/>
    <w:rsid w:val="005374CA"/>
    <w:rsid w:val="00541945"/>
    <w:rsid w:val="0054223A"/>
    <w:rsid w:val="00543480"/>
    <w:rsid w:val="00544374"/>
    <w:rsid w:val="005444AC"/>
    <w:rsid w:val="0054467D"/>
    <w:rsid w:val="00546886"/>
    <w:rsid w:val="00547E7A"/>
    <w:rsid w:val="00550136"/>
    <w:rsid w:val="00550465"/>
    <w:rsid w:val="005505A9"/>
    <w:rsid w:val="00550949"/>
    <w:rsid w:val="00550BF7"/>
    <w:rsid w:val="00553158"/>
    <w:rsid w:val="00553F1D"/>
    <w:rsid w:val="0055501B"/>
    <w:rsid w:val="00555AB6"/>
    <w:rsid w:val="00557CE0"/>
    <w:rsid w:val="00560349"/>
    <w:rsid w:val="005606C2"/>
    <w:rsid w:val="00562135"/>
    <w:rsid w:val="005627B1"/>
    <w:rsid w:val="00563240"/>
    <w:rsid w:val="005637E0"/>
    <w:rsid w:val="00563FAF"/>
    <w:rsid w:val="00564C0F"/>
    <w:rsid w:val="00566416"/>
    <w:rsid w:val="005667DD"/>
    <w:rsid w:val="00566CB6"/>
    <w:rsid w:val="0057081A"/>
    <w:rsid w:val="00570E50"/>
    <w:rsid w:val="005719E4"/>
    <w:rsid w:val="00571A6D"/>
    <w:rsid w:val="0057347D"/>
    <w:rsid w:val="00573B44"/>
    <w:rsid w:val="00573C80"/>
    <w:rsid w:val="00573E24"/>
    <w:rsid w:val="00574655"/>
    <w:rsid w:val="00574662"/>
    <w:rsid w:val="00575725"/>
    <w:rsid w:val="00575A46"/>
    <w:rsid w:val="005763AE"/>
    <w:rsid w:val="00580C0D"/>
    <w:rsid w:val="00581791"/>
    <w:rsid w:val="00581B38"/>
    <w:rsid w:val="005843E8"/>
    <w:rsid w:val="00585F0B"/>
    <w:rsid w:val="0058668A"/>
    <w:rsid w:val="00586787"/>
    <w:rsid w:val="00587B7E"/>
    <w:rsid w:val="00590759"/>
    <w:rsid w:val="00591493"/>
    <w:rsid w:val="0059326F"/>
    <w:rsid w:val="00596569"/>
    <w:rsid w:val="0059660B"/>
    <w:rsid w:val="00596A81"/>
    <w:rsid w:val="00597E8A"/>
    <w:rsid w:val="005A3404"/>
    <w:rsid w:val="005A34AD"/>
    <w:rsid w:val="005A53F6"/>
    <w:rsid w:val="005A67D8"/>
    <w:rsid w:val="005B1A74"/>
    <w:rsid w:val="005B20D2"/>
    <w:rsid w:val="005B7080"/>
    <w:rsid w:val="005B7341"/>
    <w:rsid w:val="005C0188"/>
    <w:rsid w:val="005C255D"/>
    <w:rsid w:val="005C2992"/>
    <w:rsid w:val="005C3A36"/>
    <w:rsid w:val="005C3F69"/>
    <w:rsid w:val="005C7375"/>
    <w:rsid w:val="005D0D2A"/>
    <w:rsid w:val="005D1715"/>
    <w:rsid w:val="005D7701"/>
    <w:rsid w:val="005D7D9C"/>
    <w:rsid w:val="005E1417"/>
    <w:rsid w:val="005E1FD8"/>
    <w:rsid w:val="005E29E1"/>
    <w:rsid w:val="005E30A9"/>
    <w:rsid w:val="005E447F"/>
    <w:rsid w:val="005E4B3B"/>
    <w:rsid w:val="005E66F2"/>
    <w:rsid w:val="005E739F"/>
    <w:rsid w:val="005E7A1B"/>
    <w:rsid w:val="005F0D66"/>
    <w:rsid w:val="005F0E61"/>
    <w:rsid w:val="005F2BD7"/>
    <w:rsid w:val="005F34ED"/>
    <w:rsid w:val="005F4151"/>
    <w:rsid w:val="00600577"/>
    <w:rsid w:val="00601605"/>
    <w:rsid w:val="00603B48"/>
    <w:rsid w:val="00604197"/>
    <w:rsid w:val="00604E93"/>
    <w:rsid w:val="006054AB"/>
    <w:rsid w:val="00605734"/>
    <w:rsid w:val="00611644"/>
    <w:rsid w:val="00611704"/>
    <w:rsid w:val="00611776"/>
    <w:rsid w:val="00612445"/>
    <w:rsid w:val="006125B0"/>
    <w:rsid w:val="00613BB9"/>
    <w:rsid w:val="00616F6D"/>
    <w:rsid w:val="00620015"/>
    <w:rsid w:val="00620370"/>
    <w:rsid w:val="0062180D"/>
    <w:rsid w:val="00622217"/>
    <w:rsid w:val="00622D0E"/>
    <w:rsid w:val="006247E7"/>
    <w:rsid w:val="00624CD7"/>
    <w:rsid w:val="0062519F"/>
    <w:rsid w:val="00626AFF"/>
    <w:rsid w:val="00626B78"/>
    <w:rsid w:val="006272D3"/>
    <w:rsid w:val="006277CE"/>
    <w:rsid w:val="00627A32"/>
    <w:rsid w:val="00627A43"/>
    <w:rsid w:val="00627C51"/>
    <w:rsid w:val="00630BBC"/>
    <w:rsid w:val="00631000"/>
    <w:rsid w:val="00632EB3"/>
    <w:rsid w:val="006334C8"/>
    <w:rsid w:val="006336BB"/>
    <w:rsid w:val="00633F49"/>
    <w:rsid w:val="00634CE0"/>
    <w:rsid w:val="00637244"/>
    <w:rsid w:val="006374B3"/>
    <w:rsid w:val="00646026"/>
    <w:rsid w:val="00646477"/>
    <w:rsid w:val="00651AE9"/>
    <w:rsid w:val="00652DE7"/>
    <w:rsid w:val="00652E97"/>
    <w:rsid w:val="0065606C"/>
    <w:rsid w:val="006617C2"/>
    <w:rsid w:val="006618AC"/>
    <w:rsid w:val="006620D5"/>
    <w:rsid w:val="0066248F"/>
    <w:rsid w:val="00662A9F"/>
    <w:rsid w:val="00662E9C"/>
    <w:rsid w:val="00663485"/>
    <w:rsid w:val="00665858"/>
    <w:rsid w:val="00665C66"/>
    <w:rsid w:val="006666C3"/>
    <w:rsid w:val="00667CD4"/>
    <w:rsid w:val="006741A8"/>
    <w:rsid w:val="00674D19"/>
    <w:rsid w:val="00675408"/>
    <w:rsid w:val="00676907"/>
    <w:rsid w:val="00676DE5"/>
    <w:rsid w:val="00677ADD"/>
    <w:rsid w:val="00681090"/>
    <w:rsid w:val="0068148E"/>
    <w:rsid w:val="006818EC"/>
    <w:rsid w:val="006829BB"/>
    <w:rsid w:val="0068345F"/>
    <w:rsid w:val="00684A4C"/>
    <w:rsid w:val="006866C4"/>
    <w:rsid w:val="00687D68"/>
    <w:rsid w:val="00693CE7"/>
    <w:rsid w:val="00696195"/>
    <w:rsid w:val="0069737B"/>
    <w:rsid w:val="0069750C"/>
    <w:rsid w:val="0069786D"/>
    <w:rsid w:val="006A0042"/>
    <w:rsid w:val="006A0495"/>
    <w:rsid w:val="006A0780"/>
    <w:rsid w:val="006A0F7D"/>
    <w:rsid w:val="006A30FA"/>
    <w:rsid w:val="006A3295"/>
    <w:rsid w:val="006A5BB7"/>
    <w:rsid w:val="006A608B"/>
    <w:rsid w:val="006A6432"/>
    <w:rsid w:val="006A6D7A"/>
    <w:rsid w:val="006A70F0"/>
    <w:rsid w:val="006A7278"/>
    <w:rsid w:val="006A7AFE"/>
    <w:rsid w:val="006B059D"/>
    <w:rsid w:val="006B17CB"/>
    <w:rsid w:val="006B201B"/>
    <w:rsid w:val="006B372F"/>
    <w:rsid w:val="006B3CAA"/>
    <w:rsid w:val="006B3E82"/>
    <w:rsid w:val="006B3FA1"/>
    <w:rsid w:val="006B4F22"/>
    <w:rsid w:val="006B7651"/>
    <w:rsid w:val="006B7742"/>
    <w:rsid w:val="006C1549"/>
    <w:rsid w:val="006C236D"/>
    <w:rsid w:val="006C3531"/>
    <w:rsid w:val="006C52BD"/>
    <w:rsid w:val="006C6482"/>
    <w:rsid w:val="006C65C2"/>
    <w:rsid w:val="006C6B84"/>
    <w:rsid w:val="006C7D48"/>
    <w:rsid w:val="006D0F80"/>
    <w:rsid w:val="006D11FE"/>
    <w:rsid w:val="006D13F8"/>
    <w:rsid w:val="006D1E33"/>
    <w:rsid w:val="006D22B8"/>
    <w:rsid w:val="006D3140"/>
    <w:rsid w:val="006D366F"/>
    <w:rsid w:val="006D66F4"/>
    <w:rsid w:val="006D7210"/>
    <w:rsid w:val="006E06C0"/>
    <w:rsid w:val="006E2FDA"/>
    <w:rsid w:val="006E3499"/>
    <w:rsid w:val="006E43A2"/>
    <w:rsid w:val="006E7D5D"/>
    <w:rsid w:val="006F0982"/>
    <w:rsid w:val="006F0B9C"/>
    <w:rsid w:val="006F0D0A"/>
    <w:rsid w:val="006F67D7"/>
    <w:rsid w:val="006F7DF1"/>
    <w:rsid w:val="00700BFB"/>
    <w:rsid w:val="00700C61"/>
    <w:rsid w:val="00700D96"/>
    <w:rsid w:val="007021A9"/>
    <w:rsid w:val="0070439D"/>
    <w:rsid w:val="007051C7"/>
    <w:rsid w:val="00705C24"/>
    <w:rsid w:val="00706B3A"/>
    <w:rsid w:val="007116E6"/>
    <w:rsid w:val="00712629"/>
    <w:rsid w:val="007150CD"/>
    <w:rsid w:val="00716D73"/>
    <w:rsid w:val="00721465"/>
    <w:rsid w:val="00721AFA"/>
    <w:rsid w:val="00726076"/>
    <w:rsid w:val="007275F8"/>
    <w:rsid w:val="00727BFE"/>
    <w:rsid w:val="00730968"/>
    <w:rsid w:val="00733D83"/>
    <w:rsid w:val="00735E41"/>
    <w:rsid w:val="007365B8"/>
    <w:rsid w:val="007367AB"/>
    <w:rsid w:val="00736D87"/>
    <w:rsid w:val="00737436"/>
    <w:rsid w:val="0074255B"/>
    <w:rsid w:val="00744976"/>
    <w:rsid w:val="00745C72"/>
    <w:rsid w:val="00746F4C"/>
    <w:rsid w:val="00747804"/>
    <w:rsid w:val="007522AE"/>
    <w:rsid w:val="00753161"/>
    <w:rsid w:val="00753187"/>
    <w:rsid w:val="007537A3"/>
    <w:rsid w:val="007554FA"/>
    <w:rsid w:val="00755862"/>
    <w:rsid w:val="00755A5D"/>
    <w:rsid w:val="00762C53"/>
    <w:rsid w:val="007632BA"/>
    <w:rsid w:val="00764199"/>
    <w:rsid w:val="007651CC"/>
    <w:rsid w:val="0076724A"/>
    <w:rsid w:val="0077014F"/>
    <w:rsid w:val="00770312"/>
    <w:rsid w:val="007707C0"/>
    <w:rsid w:val="00770B21"/>
    <w:rsid w:val="00770FD8"/>
    <w:rsid w:val="007712D1"/>
    <w:rsid w:val="00774A4B"/>
    <w:rsid w:val="00774DA2"/>
    <w:rsid w:val="00774E98"/>
    <w:rsid w:val="007801B9"/>
    <w:rsid w:val="007819BB"/>
    <w:rsid w:val="0078228E"/>
    <w:rsid w:val="00782E27"/>
    <w:rsid w:val="007842B2"/>
    <w:rsid w:val="00784AEE"/>
    <w:rsid w:val="0078514B"/>
    <w:rsid w:val="007853CA"/>
    <w:rsid w:val="00786E0B"/>
    <w:rsid w:val="00787E47"/>
    <w:rsid w:val="00787F31"/>
    <w:rsid w:val="00790301"/>
    <w:rsid w:val="00793ADF"/>
    <w:rsid w:val="00793EA0"/>
    <w:rsid w:val="00793ECA"/>
    <w:rsid w:val="007944A2"/>
    <w:rsid w:val="00796145"/>
    <w:rsid w:val="007977A5"/>
    <w:rsid w:val="007A1357"/>
    <w:rsid w:val="007A1F68"/>
    <w:rsid w:val="007A23B5"/>
    <w:rsid w:val="007A29EC"/>
    <w:rsid w:val="007A415D"/>
    <w:rsid w:val="007A479E"/>
    <w:rsid w:val="007A4915"/>
    <w:rsid w:val="007A4D98"/>
    <w:rsid w:val="007B0CB5"/>
    <w:rsid w:val="007B1A1D"/>
    <w:rsid w:val="007B3468"/>
    <w:rsid w:val="007B3937"/>
    <w:rsid w:val="007B5B16"/>
    <w:rsid w:val="007C12AF"/>
    <w:rsid w:val="007C457E"/>
    <w:rsid w:val="007C489B"/>
    <w:rsid w:val="007C73A6"/>
    <w:rsid w:val="007C7554"/>
    <w:rsid w:val="007C7834"/>
    <w:rsid w:val="007D0040"/>
    <w:rsid w:val="007D0811"/>
    <w:rsid w:val="007D1E19"/>
    <w:rsid w:val="007D3110"/>
    <w:rsid w:val="007D4B2B"/>
    <w:rsid w:val="007D57B4"/>
    <w:rsid w:val="007D5BCD"/>
    <w:rsid w:val="007D6890"/>
    <w:rsid w:val="007D7AA7"/>
    <w:rsid w:val="007E0E71"/>
    <w:rsid w:val="007E13B4"/>
    <w:rsid w:val="007E1B53"/>
    <w:rsid w:val="007E1CAC"/>
    <w:rsid w:val="007E28A8"/>
    <w:rsid w:val="007E297B"/>
    <w:rsid w:val="007E29B1"/>
    <w:rsid w:val="007E6B05"/>
    <w:rsid w:val="007F11CF"/>
    <w:rsid w:val="007F2921"/>
    <w:rsid w:val="007F2A9A"/>
    <w:rsid w:val="007F3FB7"/>
    <w:rsid w:val="007F46C4"/>
    <w:rsid w:val="007F6A3D"/>
    <w:rsid w:val="007F75F7"/>
    <w:rsid w:val="007F7D95"/>
    <w:rsid w:val="0080238D"/>
    <w:rsid w:val="00804E62"/>
    <w:rsid w:val="008054E6"/>
    <w:rsid w:val="00806AC1"/>
    <w:rsid w:val="008070FF"/>
    <w:rsid w:val="00810858"/>
    <w:rsid w:val="00812920"/>
    <w:rsid w:val="008144DF"/>
    <w:rsid w:val="0082056C"/>
    <w:rsid w:val="00820E95"/>
    <w:rsid w:val="00821191"/>
    <w:rsid w:val="00821D94"/>
    <w:rsid w:val="00822F92"/>
    <w:rsid w:val="00824B0F"/>
    <w:rsid w:val="00825902"/>
    <w:rsid w:val="008263E0"/>
    <w:rsid w:val="00830927"/>
    <w:rsid w:val="00831D23"/>
    <w:rsid w:val="008324F1"/>
    <w:rsid w:val="008333E3"/>
    <w:rsid w:val="0083347C"/>
    <w:rsid w:val="00834DA7"/>
    <w:rsid w:val="00834E70"/>
    <w:rsid w:val="00835214"/>
    <w:rsid w:val="00836263"/>
    <w:rsid w:val="008366A6"/>
    <w:rsid w:val="008367B8"/>
    <w:rsid w:val="008403F7"/>
    <w:rsid w:val="00840DB3"/>
    <w:rsid w:val="00841184"/>
    <w:rsid w:val="008436EC"/>
    <w:rsid w:val="00843D33"/>
    <w:rsid w:val="00845476"/>
    <w:rsid w:val="008455C1"/>
    <w:rsid w:val="00845EAA"/>
    <w:rsid w:val="00850E67"/>
    <w:rsid w:val="00852AD3"/>
    <w:rsid w:val="00852C9C"/>
    <w:rsid w:val="00852FA7"/>
    <w:rsid w:val="00860118"/>
    <w:rsid w:val="00860306"/>
    <w:rsid w:val="008612F0"/>
    <w:rsid w:val="008638A2"/>
    <w:rsid w:val="008658EC"/>
    <w:rsid w:val="00865F01"/>
    <w:rsid w:val="008703F6"/>
    <w:rsid w:val="00871AB9"/>
    <w:rsid w:val="0087299A"/>
    <w:rsid w:val="00872ECC"/>
    <w:rsid w:val="008746F7"/>
    <w:rsid w:val="00875B05"/>
    <w:rsid w:val="00875C22"/>
    <w:rsid w:val="0087627A"/>
    <w:rsid w:val="00877089"/>
    <w:rsid w:val="00881536"/>
    <w:rsid w:val="00884D34"/>
    <w:rsid w:val="0088504D"/>
    <w:rsid w:val="00885D91"/>
    <w:rsid w:val="008862AB"/>
    <w:rsid w:val="0088672B"/>
    <w:rsid w:val="00886830"/>
    <w:rsid w:val="00886CB4"/>
    <w:rsid w:val="00887CBC"/>
    <w:rsid w:val="00892C90"/>
    <w:rsid w:val="00893D17"/>
    <w:rsid w:val="008947A2"/>
    <w:rsid w:val="00895267"/>
    <w:rsid w:val="008968CC"/>
    <w:rsid w:val="00896CDF"/>
    <w:rsid w:val="008974DB"/>
    <w:rsid w:val="00897B34"/>
    <w:rsid w:val="008A3020"/>
    <w:rsid w:val="008A687B"/>
    <w:rsid w:val="008A78FF"/>
    <w:rsid w:val="008B016E"/>
    <w:rsid w:val="008B067F"/>
    <w:rsid w:val="008B081C"/>
    <w:rsid w:val="008B16A1"/>
    <w:rsid w:val="008B178B"/>
    <w:rsid w:val="008B1FE0"/>
    <w:rsid w:val="008B3312"/>
    <w:rsid w:val="008B5BC5"/>
    <w:rsid w:val="008C02A0"/>
    <w:rsid w:val="008C0F60"/>
    <w:rsid w:val="008C33E4"/>
    <w:rsid w:val="008C3670"/>
    <w:rsid w:val="008C40E5"/>
    <w:rsid w:val="008C7458"/>
    <w:rsid w:val="008C7CE4"/>
    <w:rsid w:val="008D123E"/>
    <w:rsid w:val="008D1D1D"/>
    <w:rsid w:val="008D353F"/>
    <w:rsid w:val="008D3BFE"/>
    <w:rsid w:val="008D5892"/>
    <w:rsid w:val="008D5C5D"/>
    <w:rsid w:val="008D68B3"/>
    <w:rsid w:val="008D6BF3"/>
    <w:rsid w:val="008D7264"/>
    <w:rsid w:val="008E2B4F"/>
    <w:rsid w:val="008E3AE8"/>
    <w:rsid w:val="008E40DA"/>
    <w:rsid w:val="008E4215"/>
    <w:rsid w:val="008E5067"/>
    <w:rsid w:val="008E53B0"/>
    <w:rsid w:val="008E65A4"/>
    <w:rsid w:val="008E6F35"/>
    <w:rsid w:val="008F2D03"/>
    <w:rsid w:val="008F33EC"/>
    <w:rsid w:val="008F49E2"/>
    <w:rsid w:val="008F6F63"/>
    <w:rsid w:val="0090066A"/>
    <w:rsid w:val="00900FD8"/>
    <w:rsid w:val="0090118F"/>
    <w:rsid w:val="00901489"/>
    <w:rsid w:val="00903353"/>
    <w:rsid w:val="00903A91"/>
    <w:rsid w:val="009046D8"/>
    <w:rsid w:val="00904E8A"/>
    <w:rsid w:val="0090518E"/>
    <w:rsid w:val="009057E5"/>
    <w:rsid w:val="00907876"/>
    <w:rsid w:val="00907BA5"/>
    <w:rsid w:val="0091152A"/>
    <w:rsid w:val="009140F3"/>
    <w:rsid w:val="00914E6B"/>
    <w:rsid w:val="00915F7F"/>
    <w:rsid w:val="00915FF9"/>
    <w:rsid w:val="00916C72"/>
    <w:rsid w:val="00916DE7"/>
    <w:rsid w:val="00917C14"/>
    <w:rsid w:val="009205A1"/>
    <w:rsid w:val="00920675"/>
    <w:rsid w:val="00920676"/>
    <w:rsid w:val="00920899"/>
    <w:rsid w:val="009212B4"/>
    <w:rsid w:val="00924475"/>
    <w:rsid w:val="00925670"/>
    <w:rsid w:val="0092654B"/>
    <w:rsid w:val="00927221"/>
    <w:rsid w:val="009273D6"/>
    <w:rsid w:val="0092762C"/>
    <w:rsid w:val="0093012C"/>
    <w:rsid w:val="009312CF"/>
    <w:rsid w:val="00931D8A"/>
    <w:rsid w:val="009325B2"/>
    <w:rsid w:val="00933093"/>
    <w:rsid w:val="009337C2"/>
    <w:rsid w:val="009357AA"/>
    <w:rsid w:val="00937316"/>
    <w:rsid w:val="00941966"/>
    <w:rsid w:val="00942A0B"/>
    <w:rsid w:val="009430D5"/>
    <w:rsid w:val="00943675"/>
    <w:rsid w:val="00943893"/>
    <w:rsid w:val="009440A6"/>
    <w:rsid w:val="009442CC"/>
    <w:rsid w:val="009446C3"/>
    <w:rsid w:val="00944B37"/>
    <w:rsid w:val="00945099"/>
    <w:rsid w:val="00946C8A"/>
    <w:rsid w:val="00947D8F"/>
    <w:rsid w:val="00950551"/>
    <w:rsid w:val="00954F1A"/>
    <w:rsid w:val="00955084"/>
    <w:rsid w:val="00955E53"/>
    <w:rsid w:val="009576F8"/>
    <w:rsid w:val="009577FB"/>
    <w:rsid w:val="00960257"/>
    <w:rsid w:val="009603FE"/>
    <w:rsid w:val="00961795"/>
    <w:rsid w:val="00963201"/>
    <w:rsid w:val="00963DEF"/>
    <w:rsid w:val="00964591"/>
    <w:rsid w:val="009645E4"/>
    <w:rsid w:val="00964CAA"/>
    <w:rsid w:val="0096591F"/>
    <w:rsid w:val="0096693D"/>
    <w:rsid w:val="00966A27"/>
    <w:rsid w:val="0097126D"/>
    <w:rsid w:val="0097335B"/>
    <w:rsid w:val="00973A50"/>
    <w:rsid w:val="00975F28"/>
    <w:rsid w:val="009770E2"/>
    <w:rsid w:val="0097735E"/>
    <w:rsid w:val="00984AFC"/>
    <w:rsid w:val="00986761"/>
    <w:rsid w:val="0098738B"/>
    <w:rsid w:val="009905B9"/>
    <w:rsid w:val="00993093"/>
    <w:rsid w:val="009933A4"/>
    <w:rsid w:val="00994BC6"/>
    <w:rsid w:val="009952A4"/>
    <w:rsid w:val="00995CC5"/>
    <w:rsid w:val="00996727"/>
    <w:rsid w:val="00996E52"/>
    <w:rsid w:val="00997D2F"/>
    <w:rsid w:val="009A0D99"/>
    <w:rsid w:val="009A2077"/>
    <w:rsid w:val="009A256B"/>
    <w:rsid w:val="009A47A9"/>
    <w:rsid w:val="009A4828"/>
    <w:rsid w:val="009A486D"/>
    <w:rsid w:val="009A4E50"/>
    <w:rsid w:val="009A787B"/>
    <w:rsid w:val="009B0BC3"/>
    <w:rsid w:val="009B2E27"/>
    <w:rsid w:val="009B5173"/>
    <w:rsid w:val="009C01D5"/>
    <w:rsid w:val="009C1119"/>
    <w:rsid w:val="009C1A8B"/>
    <w:rsid w:val="009C1EAD"/>
    <w:rsid w:val="009C230F"/>
    <w:rsid w:val="009C2BCF"/>
    <w:rsid w:val="009C3607"/>
    <w:rsid w:val="009C60B7"/>
    <w:rsid w:val="009C6608"/>
    <w:rsid w:val="009C6B36"/>
    <w:rsid w:val="009D2126"/>
    <w:rsid w:val="009D30D8"/>
    <w:rsid w:val="009D4EB7"/>
    <w:rsid w:val="009D6A68"/>
    <w:rsid w:val="009D781E"/>
    <w:rsid w:val="009E013E"/>
    <w:rsid w:val="009E0F4C"/>
    <w:rsid w:val="009E19FE"/>
    <w:rsid w:val="009E29A7"/>
    <w:rsid w:val="009E4269"/>
    <w:rsid w:val="009E5409"/>
    <w:rsid w:val="009E6A57"/>
    <w:rsid w:val="009E731F"/>
    <w:rsid w:val="009E7AC5"/>
    <w:rsid w:val="009F076F"/>
    <w:rsid w:val="009F10E5"/>
    <w:rsid w:val="009F116E"/>
    <w:rsid w:val="009F184B"/>
    <w:rsid w:val="009F2C78"/>
    <w:rsid w:val="009F3862"/>
    <w:rsid w:val="009F3A67"/>
    <w:rsid w:val="009F509A"/>
    <w:rsid w:val="009F658C"/>
    <w:rsid w:val="009F6BD0"/>
    <w:rsid w:val="009F6C22"/>
    <w:rsid w:val="009F6D84"/>
    <w:rsid w:val="009F6F02"/>
    <w:rsid w:val="009F7966"/>
    <w:rsid w:val="00A01341"/>
    <w:rsid w:val="00A02C8E"/>
    <w:rsid w:val="00A03EDC"/>
    <w:rsid w:val="00A07ED8"/>
    <w:rsid w:val="00A104A6"/>
    <w:rsid w:val="00A11849"/>
    <w:rsid w:val="00A12A9D"/>
    <w:rsid w:val="00A14970"/>
    <w:rsid w:val="00A17446"/>
    <w:rsid w:val="00A219CC"/>
    <w:rsid w:val="00A222DA"/>
    <w:rsid w:val="00A24522"/>
    <w:rsid w:val="00A24F8D"/>
    <w:rsid w:val="00A331D1"/>
    <w:rsid w:val="00A33D1D"/>
    <w:rsid w:val="00A3745F"/>
    <w:rsid w:val="00A40251"/>
    <w:rsid w:val="00A4235A"/>
    <w:rsid w:val="00A42EC4"/>
    <w:rsid w:val="00A43A60"/>
    <w:rsid w:val="00A45B3E"/>
    <w:rsid w:val="00A461A0"/>
    <w:rsid w:val="00A46370"/>
    <w:rsid w:val="00A475A2"/>
    <w:rsid w:val="00A47BB2"/>
    <w:rsid w:val="00A51AF6"/>
    <w:rsid w:val="00A51FDA"/>
    <w:rsid w:val="00A5284A"/>
    <w:rsid w:val="00A52F03"/>
    <w:rsid w:val="00A53FB2"/>
    <w:rsid w:val="00A54E9E"/>
    <w:rsid w:val="00A5683C"/>
    <w:rsid w:val="00A57914"/>
    <w:rsid w:val="00A60264"/>
    <w:rsid w:val="00A61F6A"/>
    <w:rsid w:val="00A62733"/>
    <w:rsid w:val="00A63068"/>
    <w:rsid w:val="00A63A54"/>
    <w:rsid w:val="00A63F28"/>
    <w:rsid w:val="00A656CC"/>
    <w:rsid w:val="00A66D95"/>
    <w:rsid w:val="00A67F8A"/>
    <w:rsid w:val="00A7000B"/>
    <w:rsid w:val="00A72BD0"/>
    <w:rsid w:val="00A73871"/>
    <w:rsid w:val="00A75BB6"/>
    <w:rsid w:val="00A75C4E"/>
    <w:rsid w:val="00A77688"/>
    <w:rsid w:val="00A80D48"/>
    <w:rsid w:val="00A8109B"/>
    <w:rsid w:val="00A810C4"/>
    <w:rsid w:val="00A81F65"/>
    <w:rsid w:val="00A8386D"/>
    <w:rsid w:val="00A84AAE"/>
    <w:rsid w:val="00A8537F"/>
    <w:rsid w:val="00A854AD"/>
    <w:rsid w:val="00A873F6"/>
    <w:rsid w:val="00A9230E"/>
    <w:rsid w:val="00A9331D"/>
    <w:rsid w:val="00A939C2"/>
    <w:rsid w:val="00A93AFE"/>
    <w:rsid w:val="00A93F16"/>
    <w:rsid w:val="00A94952"/>
    <w:rsid w:val="00A95655"/>
    <w:rsid w:val="00A95D80"/>
    <w:rsid w:val="00A96736"/>
    <w:rsid w:val="00A96742"/>
    <w:rsid w:val="00A96C60"/>
    <w:rsid w:val="00AA64DA"/>
    <w:rsid w:val="00AA7BA6"/>
    <w:rsid w:val="00AB3874"/>
    <w:rsid w:val="00AB3E9A"/>
    <w:rsid w:val="00AB5FC3"/>
    <w:rsid w:val="00AB6417"/>
    <w:rsid w:val="00AB7849"/>
    <w:rsid w:val="00AC01E6"/>
    <w:rsid w:val="00AC294F"/>
    <w:rsid w:val="00AC2985"/>
    <w:rsid w:val="00AC52E0"/>
    <w:rsid w:val="00AC6A2F"/>
    <w:rsid w:val="00AC6A3E"/>
    <w:rsid w:val="00AD0955"/>
    <w:rsid w:val="00AD12F9"/>
    <w:rsid w:val="00AD1D21"/>
    <w:rsid w:val="00AD2E07"/>
    <w:rsid w:val="00AD383C"/>
    <w:rsid w:val="00AD4838"/>
    <w:rsid w:val="00AD6038"/>
    <w:rsid w:val="00AD648C"/>
    <w:rsid w:val="00AD6C2E"/>
    <w:rsid w:val="00AD73AD"/>
    <w:rsid w:val="00AD7C3E"/>
    <w:rsid w:val="00AE111E"/>
    <w:rsid w:val="00AE1783"/>
    <w:rsid w:val="00AE209E"/>
    <w:rsid w:val="00AE2DAD"/>
    <w:rsid w:val="00AE2F95"/>
    <w:rsid w:val="00AE39B7"/>
    <w:rsid w:val="00AE4B7A"/>
    <w:rsid w:val="00AE5086"/>
    <w:rsid w:val="00AE5BE2"/>
    <w:rsid w:val="00AE633D"/>
    <w:rsid w:val="00AE6AD7"/>
    <w:rsid w:val="00AE74DF"/>
    <w:rsid w:val="00AF0425"/>
    <w:rsid w:val="00AF0F41"/>
    <w:rsid w:val="00AF1BDF"/>
    <w:rsid w:val="00AF1CFE"/>
    <w:rsid w:val="00AF221A"/>
    <w:rsid w:val="00AF2714"/>
    <w:rsid w:val="00AF33E1"/>
    <w:rsid w:val="00AF40AF"/>
    <w:rsid w:val="00AF46FC"/>
    <w:rsid w:val="00AF6727"/>
    <w:rsid w:val="00AF7E7E"/>
    <w:rsid w:val="00B00D17"/>
    <w:rsid w:val="00B00F96"/>
    <w:rsid w:val="00B01D29"/>
    <w:rsid w:val="00B0250F"/>
    <w:rsid w:val="00B040A0"/>
    <w:rsid w:val="00B0421E"/>
    <w:rsid w:val="00B046F6"/>
    <w:rsid w:val="00B05CCB"/>
    <w:rsid w:val="00B07369"/>
    <w:rsid w:val="00B07B91"/>
    <w:rsid w:val="00B07CF5"/>
    <w:rsid w:val="00B10893"/>
    <w:rsid w:val="00B11143"/>
    <w:rsid w:val="00B11270"/>
    <w:rsid w:val="00B11957"/>
    <w:rsid w:val="00B11D22"/>
    <w:rsid w:val="00B11EF8"/>
    <w:rsid w:val="00B1275E"/>
    <w:rsid w:val="00B17307"/>
    <w:rsid w:val="00B203C6"/>
    <w:rsid w:val="00B2301C"/>
    <w:rsid w:val="00B2443F"/>
    <w:rsid w:val="00B24C2B"/>
    <w:rsid w:val="00B255A8"/>
    <w:rsid w:val="00B27CF4"/>
    <w:rsid w:val="00B3059B"/>
    <w:rsid w:val="00B363B4"/>
    <w:rsid w:val="00B36610"/>
    <w:rsid w:val="00B4064A"/>
    <w:rsid w:val="00B4510D"/>
    <w:rsid w:val="00B4551A"/>
    <w:rsid w:val="00B460BE"/>
    <w:rsid w:val="00B47E12"/>
    <w:rsid w:val="00B51D10"/>
    <w:rsid w:val="00B51F3B"/>
    <w:rsid w:val="00B523AE"/>
    <w:rsid w:val="00B53E0C"/>
    <w:rsid w:val="00B540D6"/>
    <w:rsid w:val="00B54B12"/>
    <w:rsid w:val="00B55DFC"/>
    <w:rsid w:val="00B6456C"/>
    <w:rsid w:val="00B65A8B"/>
    <w:rsid w:val="00B66649"/>
    <w:rsid w:val="00B669AE"/>
    <w:rsid w:val="00B6701C"/>
    <w:rsid w:val="00B6744E"/>
    <w:rsid w:val="00B67BC4"/>
    <w:rsid w:val="00B706F4"/>
    <w:rsid w:val="00B71A2D"/>
    <w:rsid w:val="00B76C86"/>
    <w:rsid w:val="00B76E48"/>
    <w:rsid w:val="00B77704"/>
    <w:rsid w:val="00B80ED8"/>
    <w:rsid w:val="00B80F7F"/>
    <w:rsid w:val="00B836A4"/>
    <w:rsid w:val="00B838E7"/>
    <w:rsid w:val="00B8428C"/>
    <w:rsid w:val="00B84C12"/>
    <w:rsid w:val="00B85118"/>
    <w:rsid w:val="00B852D4"/>
    <w:rsid w:val="00B900BE"/>
    <w:rsid w:val="00B91B0D"/>
    <w:rsid w:val="00B91F2E"/>
    <w:rsid w:val="00B9283A"/>
    <w:rsid w:val="00B94251"/>
    <w:rsid w:val="00B9479E"/>
    <w:rsid w:val="00B956F6"/>
    <w:rsid w:val="00B96E7C"/>
    <w:rsid w:val="00BA10F4"/>
    <w:rsid w:val="00BA1F61"/>
    <w:rsid w:val="00BA264B"/>
    <w:rsid w:val="00BA35E5"/>
    <w:rsid w:val="00BA387B"/>
    <w:rsid w:val="00BA3B18"/>
    <w:rsid w:val="00BA41D2"/>
    <w:rsid w:val="00BA588C"/>
    <w:rsid w:val="00BA6504"/>
    <w:rsid w:val="00BA7E01"/>
    <w:rsid w:val="00BB0E67"/>
    <w:rsid w:val="00BB0F2C"/>
    <w:rsid w:val="00BB1293"/>
    <w:rsid w:val="00BB1308"/>
    <w:rsid w:val="00BB392B"/>
    <w:rsid w:val="00BB3F59"/>
    <w:rsid w:val="00BB4751"/>
    <w:rsid w:val="00BB47D2"/>
    <w:rsid w:val="00BC1A5C"/>
    <w:rsid w:val="00BC466B"/>
    <w:rsid w:val="00BC49E8"/>
    <w:rsid w:val="00BC4AE2"/>
    <w:rsid w:val="00BC5C6F"/>
    <w:rsid w:val="00BC6A5E"/>
    <w:rsid w:val="00BC6BAD"/>
    <w:rsid w:val="00BC7B1F"/>
    <w:rsid w:val="00BD1580"/>
    <w:rsid w:val="00BD1FFC"/>
    <w:rsid w:val="00BD417A"/>
    <w:rsid w:val="00BD5182"/>
    <w:rsid w:val="00BD6485"/>
    <w:rsid w:val="00BE0400"/>
    <w:rsid w:val="00BE04FA"/>
    <w:rsid w:val="00BE0C9D"/>
    <w:rsid w:val="00BE2111"/>
    <w:rsid w:val="00BE320A"/>
    <w:rsid w:val="00BE3C86"/>
    <w:rsid w:val="00BF19CB"/>
    <w:rsid w:val="00BF6253"/>
    <w:rsid w:val="00BF6277"/>
    <w:rsid w:val="00BF72E6"/>
    <w:rsid w:val="00BF77DD"/>
    <w:rsid w:val="00BF7E6A"/>
    <w:rsid w:val="00C03B94"/>
    <w:rsid w:val="00C04EE3"/>
    <w:rsid w:val="00C061B6"/>
    <w:rsid w:val="00C06549"/>
    <w:rsid w:val="00C06CB7"/>
    <w:rsid w:val="00C07E8C"/>
    <w:rsid w:val="00C120D0"/>
    <w:rsid w:val="00C1241A"/>
    <w:rsid w:val="00C12D5A"/>
    <w:rsid w:val="00C138E9"/>
    <w:rsid w:val="00C15DE0"/>
    <w:rsid w:val="00C16A75"/>
    <w:rsid w:val="00C1705B"/>
    <w:rsid w:val="00C17438"/>
    <w:rsid w:val="00C17624"/>
    <w:rsid w:val="00C17849"/>
    <w:rsid w:val="00C22026"/>
    <w:rsid w:val="00C23740"/>
    <w:rsid w:val="00C24064"/>
    <w:rsid w:val="00C24A21"/>
    <w:rsid w:val="00C24D92"/>
    <w:rsid w:val="00C24E3C"/>
    <w:rsid w:val="00C27454"/>
    <w:rsid w:val="00C30495"/>
    <w:rsid w:val="00C30686"/>
    <w:rsid w:val="00C312EE"/>
    <w:rsid w:val="00C3172E"/>
    <w:rsid w:val="00C31877"/>
    <w:rsid w:val="00C31D55"/>
    <w:rsid w:val="00C31FBD"/>
    <w:rsid w:val="00C349D3"/>
    <w:rsid w:val="00C34ECA"/>
    <w:rsid w:val="00C35435"/>
    <w:rsid w:val="00C357BD"/>
    <w:rsid w:val="00C36DAD"/>
    <w:rsid w:val="00C3740E"/>
    <w:rsid w:val="00C377A2"/>
    <w:rsid w:val="00C3799C"/>
    <w:rsid w:val="00C403E4"/>
    <w:rsid w:val="00C4048F"/>
    <w:rsid w:val="00C41496"/>
    <w:rsid w:val="00C42AC8"/>
    <w:rsid w:val="00C441A4"/>
    <w:rsid w:val="00C46720"/>
    <w:rsid w:val="00C46E68"/>
    <w:rsid w:val="00C46EB3"/>
    <w:rsid w:val="00C527C1"/>
    <w:rsid w:val="00C55F2D"/>
    <w:rsid w:val="00C611C7"/>
    <w:rsid w:val="00C61CF0"/>
    <w:rsid w:val="00C62D96"/>
    <w:rsid w:val="00C66E9A"/>
    <w:rsid w:val="00C703FE"/>
    <w:rsid w:val="00C70483"/>
    <w:rsid w:val="00C708F7"/>
    <w:rsid w:val="00C7162F"/>
    <w:rsid w:val="00C745A7"/>
    <w:rsid w:val="00C74992"/>
    <w:rsid w:val="00C74BF9"/>
    <w:rsid w:val="00C762FD"/>
    <w:rsid w:val="00C7647B"/>
    <w:rsid w:val="00C77E1E"/>
    <w:rsid w:val="00C807A3"/>
    <w:rsid w:val="00C80BCF"/>
    <w:rsid w:val="00C80BD4"/>
    <w:rsid w:val="00C81ABC"/>
    <w:rsid w:val="00C833BA"/>
    <w:rsid w:val="00C83A12"/>
    <w:rsid w:val="00C84C1D"/>
    <w:rsid w:val="00C86E41"/>
    <w:rsid w:val="00C90494"/>
    <w:rsid w:val="00C919D4"/>
    <w:rsid w:val="00C927E2"/>
    <w:rsid w:val="00C9460D"/>
    <w:rsid w:val="00C94F97"/>
    <w:rsid w:val="00C95162"/>
    <w:rsid w:val="00C953EE"/>
    <w:rsid w:val="00C977CB"/>
    <w:rsid w:val="00C97D21"/>
    <w:rsid w:val="00CA1125"/>
    <w:rsid w:val="00CA12EE"/>
    <w:rsid w:val="00CA1727"/>
    <w:rsid w:val="00CA18CC"/>
    <w:rsid w:val="00CA1F2E"/>
    <w:rsid w:val="00CA38E6"/>
    <w:rsid w:val="00CA4A09"/>
    <w:rsid w:val="00CA57A6"/>
    <w:rsid w:val="00CA5EAD"/>
    <w:rsid w:val="00CA6026"/>
    <w:rsid w:val="00CA63EE"/>
    <w:rsid w:val="00CA7C33"/>
    <w:rsid w:val="00CB0D91"/>
    <w:rsid w:val="00CB1BA9"/>
    <w:rsid w:val="00CB1DA1"/>
    <w:rsid w:val="00CB286E"/>
    <w:rsid w:val="00CB5C1E"/>
    <w:rsid w:val="00CB6453"/>
    <w:rsid w:val="00CB7FD3"/>
    <w:rsid w:val="00CB7FF6"/>
    <w:rsid w:val="00CC0009"/>
    <w:rsid w:val="00CC2048"/>
    <w:rsid w:val="00CC2E0C"/>
    <w:rsid w:val="00CC2E48"/>
    <w:rsid w:val="00CC4108"/>
    <w:rsid w:val="00CC42C8"/>
    <w:rsid w:val="00CC4B7B"/>
    <w:rsid w:val="00CC6B9A"/>
    <w:rsid w:val="00CD06F8"/>
    <w:rsid w:val="00CD0EDB"/>
    <w:rsid w:val="00CD16B5"/>
    <w:rsid w:val="00CD3B0F"/>
    <w:rsid w:val="00CD3E77"/>
    <w:rsid w:val="00CD40F3"/>
    <w:rsid w:val="00CD41B4"/>
    <w:rsid w:val="00CD46EC"/>
    <w:rsid w:val="00CD53E3"/>
    <w:rsid w:val="00CD716D"/>
    <w:rsid w:val="00CE1EEE"/>
    <w:rsid w:val="00CE2706"/>
    <w:rsid w:val="00CE48F9"/>
    <w:rsid w:val="00CE4BF6"/>
    <w:rsid w:val="00CE7AFD"/>
    <w:rsid w:val="00CE7CF5"/>
    <w:rsid w:val="00CF0331"/>
    <w:rsid w:val="00CF0D0D"/>
    <w:rsid w:val="00CF3811"/>
    <w:rsid w:val="00CF4298"/>
    <w:rsid w:val="00CF69D4"/>
    <w:rsid w:val="00CF6D4E"/>
    <w:rsid w:val="00CF790D"/>
    <w:rsid w:val="00CF7939"/>
    <w:rsid w:val="00D01A47"/>
    <w:rsid w:val="00D0308D"/>
    <w:rsid w:val="00D0309F"/>
    <w:rsid w:val="00D03FDD"/>
    <w:rsid w:val="00D0497A"/>
    <w:rsid w:val="00D04C3C"/>
    <w:rsid w:val="00D053D1"/>
    <w:rsid w:val="00D05989"/>
    <w:rsid w:val="00D074A9"/>
    <w:rsid w:val="00D07829"/>
    <w:rsid w:val="00D106F3"/>
    <w:rsid w:val="00D117CD"/>
    <w:rsid w:val="00D13314"/>
    <w:rsid w:val="00D13614"/>
    <w:rsid w:val="00D14F3F"/>
    <w:rsid w:val="00D16CE6"/>
    <w:rsid w:val="00D17DDB"/>
    <w:rsid w:val="00D222D5"/>
    <w:rsid w:val="00D22761"/>
    <w:rsid w:val="00D2286C"/>
    <w:rsid w:val="00D25888"/>
    <w:rsid w:val="00D25C84"/>
    <w:rsid w:val="00D27163"/>
    <w:rsid w:val="00D27234"/>
    <w:rsid w:val="00D30208"/>
    <w:rsid w:val="00D30FD0"/>
    <w:rsid w:val="00D32800"/>
    <w:rsid w:val="00D32FC6"/>
    <w:rsid w:val="00D32FCF"/>
    <w:rsid w:val="00D33F5A"/>
    <w:rsid w:val="00D36977"/>
    <w:rsid w:val="00D379B5"/>
    <w:rsid w:val="00D37AD1"/>
    <w:rsid w:val="00D37C30"/>
    <w:rsid w:val="00D37EA4"/>
    <w:rsid w:val="00D40D1E"/>
    <w:rsid w:val="00D41D04"/>
    <w:rsid w:val="00D4298C"/>
    <w:rsid w:val="00D43AD9"/>
    <w:rsid w:val="00D459AB"/>
    <w:rsid w:val="00D462BE"/>
    <w:rsid w:val="00D464B4"/>
    <w:rsid w:val="00D46819"/>
    <w:rsid w:val="00D46D54"/>
    <w:rsid w:val="00D4771C"/>
    <w:rsid w:val="00D53759"/>
    <w:rsid w:val="00D54BB0"/>
    <w:rsid w:val="00D55160"/>
    <w:rsid w:val="00D55619"/>
    <w:rsid w:val="00D569EC"/>
    <w:rsid w:val="00D56B38"/>
    <w:rsid w:val="00D57369"/>
    <w:rsid w:val="00D6018C"/>
    <w:rsid w:val="00D60B78"/>
    <w:rsid w:val="00D6117B"/>
    <w:rsid w:val="00D6391A"/>
    <w:rsid w:val="00D63C2F"/>
    <w:rsid w:val="00D644A2"/>
    <w:rsid w:val="00D64F9C"/>
    <w:rsid w:val="00D657B2"/>
    <w:rsid w:val="00D66E7B"/>
    <w:rsid w:val="00D70165"/>
    <w:rsid w:val="00D70334"/>
    <w:rsid w:val="00D72C36"/>
    <w:rsid w:val="00D732A1"/>
    <w:rsid w:val="00D73CA4"/>
    <w:rsid w:val="00D753B9"/>
    <w:rsid w:val="00D755AE"/>
    <w:rsid w:val="00D76015"/>
    <w:rsid w:val="00D8044A"/>
    <w:rsid w:val="00D80776"/>
    <w:rsid w:val="00D82E64"/>
    <w:rsid w:val="00D83E47"/>
    <w:rsid w:val="00D868F6"/>
    <w:rsid w:val="00D86A7E"/>
    <w:rsid w:val="00D87A3B"/>
    <w:rsid w:val="00D91AD5"/>
    <w:rsid w:val="00D92CDF"/>
    <w:rsid w:val="00D93F9F"/>
    <w:rsid w:val="00D95F7A"/>
    <w:rsid w:val="00D968E9"/>
    <w:rsid w:val="00DA06C2"/>
    <w:rsid w:val="00DA2E3B"/>
    <w:rsid w:val="00DA4AAC"/>
    <w:rsid w:val="00DA7920"/>
    <w:rsid w:val="00DB02F5"/>
    <w:rsid w:val="00DB044B"/>
    <w:rsid w:val="00DB090B"/>
    <w:rsid w:val="00DB16AC"/>
    <w:rsid w:val="00DB35C9"/>
    <w:rsid w:val="00DB4858"/>
    <w:rsid w:val="00DB7F30"/>
    <w:rsid w:val="00DB7FEE"/>
    <w:rsid w:val="00DC0377"/>
    <w:rsid w:val="00DC0991"/>
    <w:rsid w:val="00DC18C0"/>
    <w:rsid w:val="00DC2336"/>
    <w:rsid w:val="00DC4387"/>
    <w:rsid w:val="00DC5348"/>
    <w:rsid w:val="00DC6922"/>
    <w:rsid w:val="00DD245F"/>
    <w:rsid w:val="00DD2CAA"/>
    <w:rsid w:val="00DD3898"/>
    <w:rsid w:val="00DD46B7"/>
    <w:rsid w:val="00DD4C53"/>
    <w:rsid w:val="00DD4DF5"/>
    <w:rsid w:val="00DD5417"/>
    <w:rsid w:val="00DD64BE"/>
    <w:rsid w:val="00DE089E"/>
    <w:rsid w:val="00DE254F"/>
    <w:rsid w:val="00DE25E0"/>
    <w:rsid w:val="00DE3129"/>
    <w:rsid w:val="00DE33CC"/>
    <w:rsid w:val="00DE36DA"/>
    <w:rsid w:val="00DE48E7"/>
    <w:rsid w:val="00DE6151"/>
    <w:rsid w:val="00DE73A9"/>
    <w:rsid w:val="00DE7E55"/>
    <w:rsid w:val="00DF0382"/>
    <w:rsid w:val="00DF058D"/>
    <w:rsid w:val="00DF1E16"/>
    <w:rsid w:val="00DF44A0"/>
    <w:rsid w:val="00DF492D"/>
    <w:rsid w:val="00DF5E4E"/>
    <w:rsid w:val="00DF641A"/>
    <w:rsid w:val="00E0027D"/>
    <w:rsid w:val="00E00DC3"/>
    <w:rsid w:val="00E01973"/>
    <w:rsid w:val="00E04AEE"/>
    <w:rsid w:val="00E05BD4"/>
    <w:rsid w:val="00E07C23"/>
    <w:rsid w:val="00E07D76"/>
    <w:rsid w:val="00E10F23"/>
    <w:rsid w:val="00E1166D"/>
    <w:rsid w:val="00E12FA0"/>
    <w:rsid w:val="00E14AD1"/>
    <w:rsid w:val="00E15550"/>
    <w:rsid w:val="00E170FE"/>
    <w:rsid w:val="00E202EA"/>
    <w:rsid w:val="00E22DA1"/>
    <w:rsid w:val="00E235F5"/>
    <w:rsid w:val="00E24A83"/>
    <w:rsid w:val="00E2658D"/>
    <w:rsid w:val="00E26B54"/>
    <w:rsid w:val="00E27233"/>
    <w:rsid w:val="00E27F3E"/>
    <w:rsid w:val="00E30017"/>
    <w:rsid w:val="00E303DD"/>
    <w:rsid w:val="00E33104"/>
    <w:rsid w:val="00E3433F"/>
    <w:rsid w:val="00E34C21"/>
    <w:rsid w:val="00E35BD2"/>
    <w:rsid w:val="00E36E69"/>
    <w:rsid w:val="00E42C6A"/>
    <w:rsid w:val="00E4378B"/>
    <w:rsid w:val="00E4393F"/>
    <w:rsid w:val="00E4553B"/>
    <w:rsid w:val="00E45E63"/>
    <w:rsid w:val="00E463BF"/>
    <w:rsid w:val="00E50E8E"/>
    <w:rsid w:val="00E51D8A"/>
    <w:rsid w:val="00E525D7"/>
    <w:rsid w:val="00E52956"/>
    <w:rsid w:val="00E52B33"/>
    <w:rsid w:val="00E52B56"/>
    <w:rsid w:val="00E52DF4"/>
    <w:rsid w:val="00E5456C"/>
    <w:rsid w:val="00E55E07"/>
    <w:rsid w:val="00E5738A"/>
    <w:rsid w:val="00E57ADB"/>
    <w:rsid w:val="00E605FB"/>
    <w:rsid w:val="00E61738"/>
    <w:rsid w:val="00E6188E"/>
    <w:rsid w:val="00E61CF3"/>
    <w:rsid w:val="00E6204E"/>
    <w:rsid w:val="00E63619"/>
    <w:rsid w:val="00E64D91"/>
    <w:rsid w:val="00E66AF8"/>
    <w:rsid w:val="00E66B82"/>
    <w:rsid w:val="00E722D9"/>
    <w:rsid w:val="00E73A1F"/>
    <w:rsid w:val="00E74A3D"/>
    <w:rsid w:val="00E74BA8"/>
    <w:rsid w:val="00E7560C"/>
    <w:rsid w:val="00E77C51"/>
    <w:rsid w:val="00E80DBD"/>
    <w:rsid w:val="00E80F8D"/>
    <w:rsid w:val="00E8141E"/>
    <w:rsid w:val="00E81C82"/>
    <w:rsid w:val="00E82926"/>
    <w:rsid w:val="00E869F5"/>
    <w:rsid w:val="00E87E52"/>
    <w:rsid w:val="00E941CA"/>
    <w:rsid w:val="00E94D41"/>
    <w:rsid w:val="00E94FE9"/>
    <w:rsid w:val="00E96B92"/>
    <w:rsid w:val="00E97D4B"/>
    <w:rsid w:val="00EA06E6"/>
    <w:rsid w:val="00EA0976"/>
    <w:rsid w:val="00EA0A39"/>
    <w:rsid w:val="00EA1DE6"/>
    <w:rsid w:val="00EA2D80"/>
    <w:rsid w:val="00EA3D8F"/>
    <w:rsid w:val="00EA43C9"/>
    <w:rsid w:val="00EA4D4A"/>
    <w:rsid w:val="00EA5073"/>
    <w:rsid w:val="00EA710C"/>
    <w:rsid w:val="00EA7789"/>
    <w:rsid w:val="00EB078B"/>
    <w:rsid w:val="00EB08FF"/>
    <w:rsid w:val="00EB2CF2"/>
    <w:rsid w:val="00EB41CF"/>
    <w:rsid w:val="00EB4252"/>
    <w:rsid w:val="00EB461F"/>
    <w:rsid w:val="00EB4F66"/>
    <w:rsid w:val="00EB5BA1"/>
    <w:rsid w:val="00EB6B05"/>
    <w:rsid w:val="00EC0CE4"/>
    <w:rsid w:val="00EC0FDB"/>
    <w:rsid w:val="00EC14B5"/>
    <w:rsid w:val="00EC50DA"/>
    <w:rsid w:val="00EC6646"/>
    <w:rsid w:val="00EC6FCF"/>
    <w:rsid w:val="00EC77D4"/>
    <w:rsid w:val="00ED0F26"/>
    <w:rsid w:val="00ED1D3A"/>
    <w:rsid w:val="00ED4FD9"/>
    <w:rsid w:val="00ED54DF"/>
    <w:rsid w:val="00ED7290"/>
    <w:rsid w:val="00EE13DE"/>
    <w:rsid w:val="00EE1693"/>
    <w:rsid w:val="00EE1743"/>
    <w:rsid w:val="00EE1D0B"/>
    <w:rsid w:val="00EE21B0"/>
    <w:rsid w:val="00EE23C2"/>
    <w:rsid w:val="00EE2C34"/>
    <w:rsid w:val="00EE34D9"/>
    <w:rsid w:val="00EE42A7"/>
    <w:rsid w:val="00EE5816"/>
    <w:rsid w:val="00EE6315"/>
    <w:rsid w:val="00EE6E7D"/>
    <w:rsid w:val="00EE7B14"/>
    <w:rsid w:val="00EF0026"/>
    <w:rsid w:val="00EF5B63"/>
    <w:rsid w:val="00EF7C29"/>
    <w:rsid w:val="00EF7CCB"/>
    <w:rsid w:val="00F01F59"/>
    <w:rsid w:val="00F02A51"/>
    <w:rsid w:val="00F061EE"/>
    <w:rsid w:val="00F06EC0"/>
    <w:rsid w:val="00F07622"/>
    <w:rsid w:val="00F07870"/>
    <w:rsid w:val="00F07A56"/>
    <w:rsid w:val="00F10DE4"/>
    <w:rsid w:val="00F1214A"/>
    <w:rsid w:val="00F139BE"/>
    <w:rsid w:val="00F145CA"/>
    <w:rsid w:val="00F15CD9"/>
    <w:rsid w:val="00F1622D"/>
    <w:rsid w:val="00F1711B"/>
    <w:rsid w:val="00F17D57"/>
    <w:rsid w:val="00F17F13"/>
    <w:rsid w:val="00F20B64"/>
    <w:rsid w:val="00F2114C"/>
    <w:rsid w:val="00F21662"/>
    <w:rsid w:val="00F24569"/>
    <w:rsid w:val="00F249BF"/>
    <w:rsid w:val="00F25115"/>
    <w:rsid w:val="00F2765B"/>
    <w:rsid w:val="00F30966"/>
    <w:rsid w:val="00F31777"/>
    <w:rsid w:val="00F31C86"/>
    <w:rsid w:val="00F31FBE"/>
    <w:rsid w:val="00F3224A"/>
    <w:rsid w:val="00F3377A"/>
    <w:rsid w:val="00F337C1"/>
    <w:rsid w:val="00F3567F"/>
    <w:rsid w:val="00F3594E"/>
    <w:rsid w:val="00F403C8"/>
    <w:rsid w:val="00F410A7"/>
    <w:rsid w:val="00F42AE8"/>
    <w:rsid w:val="00F45016"/>
    <w:rsid w:val="00F45A86"/>
    <w:rsid w:val="00F46B2B"/>
    <w:rsid w:val="00F50015"/>
    <w:rsid w:val="00F50250"/>
    <w:rsid w:val="00F50753"/>
    <w:rsid w:val="00F53A0C"/>
    <w:rsid w:val="00F53A17"/>
    <w:rsid w:val="00F54937"/>
    <w:rsid w:val="00F54A6A"/>
    <w:rsid w:val="00F55ECB"/>
    <w:rsid w:val="00F56591"/>
    <w:rsid w:val="00F567A2"/>
    <w:rsid w:val="00F57CA9"/>
    <w:rsid w:val="00F60887"/>
    <w:rsid w:val="00F609B0"/>
    <w:rsid w:val="00F61812"/>
    <w:rsid w:val="00F6202F"/>
    <w:rsid w:val="00F6237D"/>
    <w:rsid w:val="00F62DB3"/>
    <w:rsid w:val="00F62FD7"/>
    <w:rsid w:val="00F63B81"/>
    <w:rsid w:val="00F63C92"/>
    <w:rsid w:val="00F644EC"/>
    <w:rsid w:val="00F645E8"/>
    <w:rsid w:val="00F645F7"/>
    <w:rsid w:val="00F64ABD"/>
    <w:rsid w:val="00F652F5"/>
    <w:rsid w:val="00F65CC2"/>
    <w:rsid w:val="00F71905"/>
    <w:rsid w:val="00F73E63"/>
    <w:rsid w:val="00F7512B"/>
    <w:rsid w:val="00F75BD5"/>
    <w:rsid w:val="00F76A45"/>
    <w:rsid w:val="00F76CAA"/>
    <w:rsid w:val="00F80261"/>
    <w:rsid w:val="00F813E2"/>
    <w:rsid w:val="00F82CDE"/>
    <w:rsid w:val="00F84F8C"/>
    <w:rsid w:val="00F87E24"/>
    <w:rsid w:val="00F9095D"/>
    <w:rsid w:val="00F909A0"/>
    <w:rsid w:val="00F90DAF"/>
    <w:rsid w:val="00F91A09"/>
    <w:rsid w:val="00F94372"/>
    <w:rsid w:val="00F94522"/>
    <w:rsid w:val="00FA0074"/>
    <w:rsid w:val="00FA0890"/>
    <w:rsid w:val="00FA1553"/>
    <w:rsid w:val="00FA27CC"/>
    <w:rsid w:val="00FA7232"/>
    <w:rsid w:val="00FA73B8"/>
    <w:rsid w:val="00FB0122"/>
    <w:rsid w:val="00FB1A26"/>
    <w:rsid w:val="00FB29A7"/>
    <w:rsid w:val="00FB2E48"/>
    <w:rsid w:val="00FB35C5"/>
    <w:rsid w:val="00FB6026"/>
    <w:rsid w:val="00FB64F3"/>
    <w:rsid w:val="00FB7CF8"/>
    <w:rsid w:val="00FC10C9"/>
    <w:rsid w:val="00FC11DD"/>
    <w:rsid w:val="00FC1769"/>
    <w:rsid w:val="00FC19CE"/>
    <w:rsid w:val="00FC2236"/>
    <w:rsid w:val="00FC26CF"/>
    <w:rsid w:val="00FC4999"/>
    <w:rsid w:val="00FC6743"/>
    <w:rsid w:val="00FC6E2A"/>
    <w:rsid w:val="00FC7A14"/>
    <w:rsid w:val="00FD0A3A"/>
    <w:rsid w:val="00FD1471"/>
    <w:rsid w:val="00FD199E"/>
    <w:rsid w:val="00FD1D90"/>
    <w:rsid w:val="00FD50A0"/>
    <w:rsid w:val="00FD608A"/>
    <w:rsid w:val="00FD68C2"/>
    <w:rsid w:val="00FD77AA"/>
    <w:rsid w:val="00FD7AE2"/>
    <w:rsid w:val="00FE04A1"/>
    <w:rsid w:val="00FE455A"/>
    <w:rsid w:val="00FE4EB5"/>
    <w:rsid w:val="00FF43D5"/>
    <w:rsid w:val="00FF6C26"/>
    <w:rsid w:val="00FF6E9B"/>
    <w:rsid w:val="010D3744"/>
    <w:rsid w:val="013E77C3"/>
    <w:rsid w:val="0251371C"/>
    <w:rsid w:val="02DA4D46"/>
    <w:rsid w:val="032E08E3"/>
    <w:rsid w:val="03483977"/>
    <w:rsid w:val="03531176"/>
    <w:rsid w:val="0397607D"/>
    <w:rsid w:val="040F1A04"/>
    <w:rsid w:val="05E84A1D"/>
    <w:rsid w:val="06112117"/>
    <w:rsid w:val="06343CE3"/>
    <w:rsid w:val="06657327"/>
    <w:rsid w:val="06E26299"/>
    <w:rsid w:val="07001860"/>
    <w:rsid w:val="0757295D"/>
    <w:rsid w:val="0877223A"/>
    <w:rsid w:val="089377DB"/>
    <w:rsid w:val="08C96240"/>
    <w:rsid w:val="090E10DD"/>
    <w:rsid w:val="09404325"/>
    <w:rsid w:val="09B55C3D"/>
    <w:rsid w:val="0A22165D"/>
    <w:rsid w:val="0A637CA0"/>
    <w:rsid w:val="0ACF3A4E"/>
    <w:rsid w:val="0B1C0A9F"/>
    <w:rsid w:val="0B1F7084"/>
    <w:rsid w:val="0C3F55A4"/>
    <w:rsid w:val="0C5D03D7"/>
    <w:rsid w:val="0C8E4429"/>
    <w:rsid w:val="0CA22D46"/>
    <w:rsid w:val="0CF602B9"/>
    <w:rsid w:val="0CFE52D8"/>
    <w:rsid w:val="0DD73C46"/>
    <w:rsid w:val="0DF14587"/>
    <w:rsid w:val="0E00599F"/>
    <w:rsid w:val="0E220FBD"/>
    <w:rsid w:val="0E723C59"/>
    <w:rsid w:val="0E8F03CA"/>
    <w:rsid w:val="0EB67313"/>
    <w:rsid w:val="0ED9579C"/>
    <w:rsid w:val="0EFF7495"/>
    <w:rsid w:val="0F1108C5"/>
    <w:rsid w:val="0F233552"/>
    <w:rsid w:val="0F39738A"/>
    <w:rsid w:val="0F8676D2"/>
    <w:rsid w:val="0FFA5292"/>
    <w:rsid w:val="12147FB8"/>
    <w:rsid w:val="12226C5D"/>
    <w:rsid w:val="12706417"/>
    <w:rsid w:val="12843DF6"/>
    <w:rsid w:val="12B34532"/>
    <w:rsid w:val="12EA0AC0"/>
    <w:rsid w:val="135D74AF"/>
    <w:rsid w:val="135E6CD6"/>
    <w:rsid w:val="136130DB"/>
    <w:rsid w:val="140858E4"/>
    <w:rsid w:val="14410BDC"/>
    <w:rsid w:val="148818CC"/>
    <w:rsid w:val="14A95BEF"/>
    <w:rsid w:val="162A38DE"/>
    <w:rsid w:val="16971A68"/>
    <w:rsid w:val="17141ED9"/>
    <w:rsid w:val="17456CC7"/>
    <w:rsid w:val="177954CF"/>
    <w:rsid w:val="177C601D"/>
    <w:rsid w:val="179B58BE"/>
    <w:rsid w:val="18687593"/>
    <w:rsid w:val="18891C0D"/>
    <w:rsid w:val="18A14B47"/>
    <w:rsid w:val="18A23E5F"/>
    <w:rsid w:val="19034F2A"/>
    <w:rsid w:val="190D7E26"/>
    <w:rsid w:val="194D1B0C"/>
    <w:rsid w:val="196B74D8"/>
    <w:rsid w:val="19CD1ADC"/>
    <w:rsid w:val="19D33B0D"/>
    <w:rsid w:val="1A3D367B"/>
    <w:rsid w:val="1A623FFB"/>
    <w:rsid w:val="1A643D5C"/>
    <w:rsid w:val="1A9326A7"/>
    <w:rsid w:val="1B9656F5"/>
    <w:rsid w:val="1BA84EF9"/>
    <w:rsid w:val="1BD35D16"/>
    <w:rsid w:val="1C1E08C2"/>
    <w:rsid w:val="1C927761"/>
    <w:rsid w:val="1C962270"/>
    <w:rsid w:val="1D8D6813"/>
    <w:rsid w:val="1DA906FB"/>
    <w:rsid w:val="1DF60118"/>
    <w:rsid w:val="1DF61EC7"/>
    <w:rsid w:val="1E0F2F88"/>
    <w:rsid w:val="1E3604EB"/>
    <w:rsid w:val="1E3F2337"/>
    <w:rsid w:val="1E480248"/>
    <w:rsid w:val="1E6404B7"/>
    <w:rsid w:val="1E917E41"/>
    <w:rsid w:val="1F4D3F55"/>
    <w:rsid w:val="1F69491A"/>
    <w:rsid w:val="1F985144"/>
    <w:rsid w:val="206F5F60"/>
    <w:rsid w:val="20931C4F"/>
    <w:rsid w:val="20B6160F"/>
    <w:rsid w:val="20CB0B5A"/>
    <w:rsid w:val="21B465B5"/>
    <w:rsid w:val="22327973"/>
    <w:rsid w:val="22655F46"/>
    <w:rsid w:val="229C7277"/>
    <w:rsid w:val="231F5A1C"/>
    <w:rsid w:val="233B1906"/>
    <w:rsid w:val="236157A5"/>
    <w:rsid w:val="239E7E87"/>
    <w:rsid w:val="243F1EC3"/>
    <w:rsid w:val="24583417"/>
    <w:rsid w:val="248E2A06"/>
    <w:rsid w:val="24F81F86"/>
    <w:rsid w:val="2514523B"/>
    <w:rsid w:val="259D6C08"/>
    <w:rsid w:val="26030123"/>
    <w:rsid w:val="26061090"/>
    <w:rsid w:val="26462A46"/>
    <w:rsid w:val="26641853"/>
    <w:rsid w:val="26CF1507"/>
    <w:rsid w:val="26E95D6B"/>
    <w:rsid w:val="27320759"/>
    <w:rsid w:val="274D3BD9"/>
    <w:rsid w:val="27DC212D"/>
    <w:rsid w:val="281D195D"/>
    <w:rsid w:val="28234200"/>
    <w:rsid w:val="28CF7C37"/>
    <w:rsid w:val="29606D8E"/>
    <w:rsid w:val="29714AF7"/>
    <w:rsid w:val="29C9048F"/>
    <w:rsid w:val="29F60F36"/>
    <w:rsid w:val="2A4126B8"/>
    <w:rsid w:val="2A8C6C0D"/>
    <w:rsid w:val="2B107731"/>
    <w:rsid w:val="2B1C7D6D"/>
    <w:rsid w:val="2C974410"/>
    <w:rsid w:val="2D2C3A11"/>
    <w:rsid w:val="2DA77776"/>
    <w:rsid w:val="2E516124"/>
    <w:rsid w:val="2E591656"/>
    <w:rsid w:val="2E657E75"/>
    <w:rsid w:val="2E930748"/>
    <w:rsid w:val="2F44720A"/>
    <w:rsid w:val="2F463BDF"/>
    <w:rsid w:val="2F4844CB"/>
    <w:rsid w:val="2F5527C5"/>
    <w:rsid w:val="2F5642D5"/>
    <w:rsid w:val="2FB11B07"/>
    <w:rsid w:val="2FCB5CD1"/>
    <w:rsid w:val="30315B41"/>
    <w:rsid w:val="30B24372"/>
    <w:rsid w:val="31194ECB"/>
    <w:rsid w:val="311B28FD"/>
    <w:rsid w:val="31B83338"/>
    <w:rsid w:val="31B94782"/>
    <w:rsid w:val="320C1861"/>
    <w:rsid w:val="32310A24"/>
    <w:rsid w:val="324E0675"/>
    <w:rsid w:val="32947436"/>
    <w:rsid w:val="32FF3174"/>
    <w:rsid w:val="332753A5"/>
    <w:rsid w:val="33614907"/>
    <w:rsid w:val="33772095"/>
    <w:rsid w:val="3393072B"/>
    <w:rsid w:val="33F425AD"/>
    <w:rsid w:val="34022DE7"/>
    <w:rsid w:val="342E07CA"/>
    <w:rsid w:val="345E4584"/>
    <w:rsid w:val="34A672EE"/>
    <w:rsid w:val="34D50630"/>
    <w:rsid w:val="34D956B5"/>
    <w:rsid w:val="34F75B14"/>
    <w:rsid w:val="356F103C"/>
    <w:rsid w:val="35CA59BA"/>
    <w:rsid w:val="36883759"/>
    <w:rsid w:val="37036E6B"/>
    <w:rsid w:val="380B3FF2"/>
    <w:rsid w:val="3812247B"/>
    <w:rsid w:val="384B0C09"/>
    <w:rsid w:val="38654B4D"/>
    <w:rsid w:val="388D2FD0"/>
    <w:rsid w:val="39B97267"/>
    <w:rsid w:val="3A23448D"/>
    <w:rsid w:val="3A250F74"/>
    <w:rsid w:val="3A39749C"/>
    <w:rsid w:val="3A9A0F33"/>
    <w:rsid w:val="3AAB2E9F"/>
    <w:rsid w:val="3AE03C19"/>
    <w:rsid w:val="3AEA49AD"/>
    <w:rsid w:val="3B39646C"/>
    <w:rsid w:val="3B5510C2"/>
    <w:rsid w:val="3BC72BFA"/>
    <w:rsid w:val="3CA64853"/>
    <w:rsid w:val="3CB8603C"/>
    <w:rsid w:val="3CC33275"/>
    <w:rsid w:val="3CD43540"/>
    <w:rsid w:val="3D1101CC"/>
    <w:rsid w:val="3D3A5EA1"/>
    <w:rsid w:val="3D913562"/>
    <w:rsid w:val="3DBD2E0B"/>
    <w:rsid w:val="3E07157C"/>
    <w:rsid w:val="3E612D14"/>
    <w:rsid w:val="3EAE49F7"/>
    <w:rsid w:val="3ECA59AF"/>
    <w:rsid w:val="3ECA7BC6"/>
    <w:rsid w:val="3FE62685"/>
    <w:rsid w:val="3FF82CC1"/>
    <w:rsid w:val="401C7C6D"/>
    <w:rsid w:val="40265D04"/>
    <w:rsid w:val="402A66A3"/>
    <w:rsid w:val="4054498D"/>
    <w:rsid w:val="40803DD4"/>
    <w:rsid w:val="40837229"/>
    <w:rsid w:val="414F0814"/>
    <w:rsid w:val="416D18A5"/>
    <w:rsid w:val="41F56C46"/>
    <w:rsid w:val="426A52B3"/>
    <w:rsid w:val="42A653BA"/>
    <w:rsid w:val="436A4639"/>
    <w:rsid w:val="43B0009F"/>
    <w:rsid w:val="43EC61D7"/>
    <w:rsid w:val="44543001"/>
    <w:rsid w:val="44691849"/>
    <w:rsid w:val="44900477"/>
    <w:rsid w:val="44C63EE5"/>
    <w:rsid w:val="450D1720"/>
    <w:rsid w:val="452F1881"/>
    <w:rsid w:val="452F5B3A"/>
    <w:rsid w:val="454227E6"/>
    <w:rsid w:val="45787443"/>
    <w:rsid w:val="45C61881"/>
    <w:rsid w:val="460C6DCC"/>
    <w:rsid w:val="46561692"/>
    <w:rsid w:val="467F5EBD"/>
    <w:rsid w:val="46862BF7"/>
    <w:rsid w:val="46DA3884"/>
    <w:rsid w:val="46E9415E"/>
    <w:rsid w:val="4752380F"/>
    <w:rsid w:val="478C4068"/>
    <w:rsid w:val="479A20A9"/>
    <w:rsid w:val="485A52B1"/>
    <w:rsid w:val="48783354"/>
    <w:rsid w:val="48A04659"/>
    <w:rsid w:val="491E0AFA"/>
    <w:rsid w:val="49287F12"/>
    <w:rsid w:val="49562FE0"/>
    <w:rsid w:val="4A4240D7"/>
    <w:rsid w:val="4A434E8A"/>
    <w:rsid w:val="4A9A6757"/>
    <w:rsid w:val="4B0B04B0"/>
    <w:rsid w:val="4B337251"/>
    <w:rsid w:val="4B503834"/>
    <w:rsid w:val="4B5C7EB2"/>
    <w:rsid w:val="4B876FA9"/>
    <w:rsid w:val="4BA024F2"/>
    <w:rsid w:val="4BB15B8C"/>
    <w:rsid w:val="4C516396"/>
    <w:rsid w:val="4D0D1CE1"/>
    <w:rsid w:val="4D247698"/>
    <w:rsid w:val="4D6B7D84"/>
    <w:rsid w:val="4D706CF0"/>
    <w:rsid w:val="4D887A0C"/>
    <w:rsid w:val="4D8A72A3"/>
    <w:rsid w:val="4EAD2911"/>
    <w:rsid w:val="4EE85ED8"/>
    <w:rsid w:val="4EF7160A"/>
    <w:rsid w:val="4F0328D1"/>
    <w:rsid w:val="4F551F55"/>
    <w:rsid w:val="4FE46E81"/>
    <w:rsid w:val="503C110B"/>
    <w:rsid w:val="50802056"/>
    <w:rsid w:val="50B77226"/>
    <w:rsid w:val="513A1A97"/>
    <w:rsid w:val="51773409"/>
    <w:rsid w:val="51932194"/>
    <w:rsid w:val="51F021AD"/>
    <w:rsid w:val="5228524A"/>
    <w:rsid w:val="52430EF6"/>
    <w:rsid w:val="52A61436"/>
    <w:rsid w:val="533A20E9"/>
    <w:rsid w:val="538A75DB"/>
    <w:rsid w:val="53D1602F"/>
    <w:rsid w:val="5408707A"/>
    <w:rsid w:val="54252CAA"/>
    <w:rsid w:val="54485810"/>
    <w:rsid w:val="545455E7"/>
    <w:rsid w:val="548C2D8D"/>
    <w:rsid w:val="54921566"/>
    <w:rsid w:val="54A13C33"/>
    <w:rsid w:val="558E7591"/>
    <w:rsid w:val="55C53951"/>
    <w:rsid w:val="56292BD8"/>
    <w:rsid w:val="5632548A"/>
    <w:rsid w:val="56D150DE"/>
    <w:rsid w:val="56E54F12"/>
    <w:rsid w:val="57967D4B"/>
    <w:rsid w:val="57CE7379"/>
    <w:rsid w:val="57DD5BF0"/>
    <w:rsid w:val="57DF3CFB"/>
    <w:rsid w:val="58124E7A"/>
    <w:rsid w:val="587C3DDB"/>
    <w:rsid w:val="589C31E2"/>
    <w:rsid w:val="590925FA"/>
    <w:rsid w:val="591A6461"/>
    <w:rsid w:val="59900C1E"/>
    <w:rsid w:val="59A95E08"/>
    <w:rsid w:val="5A166C52"/>
    <w:rsid w:val="5A576BF9"/>
    <w:rsid w:val="5AEC624B"/>
    <w:rsid w:val="5C207B33"/>
    <w:rsid w:val="5C503EF8"/>
    <w:rsid w:val="5C7C7DD5"/>
    <w:rsid w:val="5C806824"/>
    <w:rsid w:val="5D0607CD"/>
    <w:rsid w:val="5DA84D48"/>
    <w:rsid w:val="5DB20C5F"/>
    <w:rsid w:val="5EA21892"/>
    <w:rsid w:val="5ED66CB9"/>
    <w:rsid w:val="5FD41B67"/>
    <w:rsid w:val="5FF25578"/>
    <w:rsid w:val="60305B3B"/>
    <w:rsid w:val="60723070"/>
    <w:rsid w:val="616C790E"/>
    <w:rsid w:val="619D6B25"/>
    <w:rsid w:val="62181BAA"/>
    <w:rsid w:val="6251635C"/>
    <w:rsid w:val="627F0811"/>
    <w:rsid w:val="631E02C3"/>
    <w:rsid w:val="63514A76"/>
    <w:rsid w:val="6369059E"/>
    <w:rsid w:val="63DF2D7E"/>
    <w:rsid w:val="63EC6F20"/>
    <w:rsid w:val="6494138E"/>
    <w:rsid w:val="653474A3"/>
    <w:rsid w:val="653D4646"/>
    <w:rsid w:val="654B1863"/>
    <w:rsid w:val="654D2692"/>
    <w:rsid w:val="655B3B8F"/>
    <w:rsid w:val="659B4642"/>
    <w:rsid w:val="65CF33EB"/>
    <w:rsid w:val="66251B91"/>
    <w:rsid w:val="678C3437"/>
    <w:rsid w:val="67B329B5"/>
    <w:rsid w:val="680961F1"/>
    <w:rsid w:val="68157B5B"/>
    <w:rsid w:val="68442DFB"/>
    <w:rsid w:val="68614C69"/>
    <w:rsid w:val="68EA1C6B"/>
    <w:rsid w:val="692B0FB7"/>
    <w:rsid w:val="6941047F"/>
    <w:rsid w:val="69861915"/>
    <w:rsid w:val="698F7B7D"/>
    <w:rsid w:val="6992222B"/>
    <w:rsid w:val="69E64ED7"/>
    <w:rsid w:val="6A0D387D"/>
    <w:rsid w:val="6A7965A2"/>
    <w:rsid w:val="6B1B1D56"/>
    <w:rsid w:val="6B225A18"/>
    <w:rsid w:val="6B703894"/>
    <w:rsid w:val="6B9D5719"/>
    <w:rsid w:val="6BCD31CF"/>
    <w:rsid w:val="6BE727D8"/>
    <w:rsid w:val="6C00528B"/>
    <w:rsid w:val="6C814A92"/>
    <w:rsid w:val="6CD843E3"/>
    <w:rsid w:val="6CE00F40"/>
    <w:rsid w:val="6D02497B"/>
    <w:rsid w:val="6D696F8E"/>
    <w:rsid w:val="6D83727B"/>
    <w:rsid w:val="6DB91B96"/>
    <w:rsid w:val="6E335D6A"/>
    <w:rsid w:val="6E40376F"/>
    <w:rsid w:val="6E4D741B"/>
    <w:rsid w:val="6E7D0E15"/>
    <w:rsid w:val="6EA939B8"/>
    <w:rsid w:val="6EAA3DC1"/>
    <w:rsid w:val="6EEA1770"/>
    <w:rsid w:val="6EED7D49"/>
    <w:rsid w:val="6EEE4F80"/>
    <w:rsid w:val="6F1E57A9"/>
    <w:rsid w:val="6F2C6E15"/>
    <w:rsid w:val="6F3E05A4"/>
    <w:rsid w:val="6FC447C7"/>
    <w:rsid w:val="709C13CF"/>
    <w:rsid w:val="70B207A7"/>
    <w:rsid w:val="71445E34"/>
    <w:rsid w:val="71500E20"/>
    <w:rsid w:val="716F005B"/>
    <w:rsid w:val="72111818"/>
    <w:rsid w:val="72752E54"/>
    <w:rsid w:val="727A5A85"/>
    <w:rsid w:val="72C423A3"/>
    <w:rsid w:val="73C31BFC"/>
    <w:rsid w:val="73FB08C1"/>
    <w:rsid w:val="742F0F70"/>
    <w:rsid w:val="746E05DA"/>
    <w:rsid w:val="748545AF"/>
    <w:rsid w:val="74C93AF0"/>
    <w:rsid w:val="74E2271D"/>
    <w:rsid w:val="75AB479D"/>
    <w:rsid w:val="762F1ADF"/>
    <w:rsid w:val="77AE5ED4"/>
    <w:rsid w:val="77B67078"/>
    <w:rsid w:val="7840713B"/>
    <w:rsid w:val="78A726FA"/>
    <w:rsid w:val="78CB0FF2"/>
    <w:rsid w:val="791A1A8B"/>
    <w:rsid w:val="79430DA7"/>
    <w:rsid w:val="7943447F"/>
    <w:rsid w:val="7A820A4A"/>
    <w:rsid w:val="7AA8721A"/>
    <w:rsid w:val="7ADD5B12"/>
    <w:rsid w:val="7C567833"/>
    <w:rsid w:val="7CD32725"/>
    <w:rsid w:val="7D2046AD"/>
    <w:rsid w:val="7D792BE7"/>
    <w:rsid w:val="7D957A3C"/>
    <w:rsid w:val="7E521BE4"/>
    <w:rsid w:val="7EA82077"/>
    <w:rsid w:val="7EC65968"/>
    <w:rsid w:val="7EDF47B6"/>
    <w:rsid w:val="7EF24F07"/>
    <w:rsid w:val="7F6A38ED"/>
    <w:rsid w:val="7F90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qFormat/>
    <w:uiPriority w:val="0"/>
    <w:pPr>
      <w:keepNext/>
      <w:keepLines/>
      <w:numPr>
        <w:ilvl w:val="0"/>
        <w:numId w:val="1"/>
      </w:numPr>
      <w:spacing w:before="340" w:after="330" w:line="578" w:lineRule="auto"/>
      <w:ind w:left="0" w:firstLine="0"/>
      <w:jc w:val="center"/>
      <w:outlineLvl w:val="0"/>
    </w:pPr>
    <w:rPr>
      <w:rFonts w:eastAsia="黑体"/>
      <w:bCs/>
      <w:kern w:val="44"/>
      <w:sz w:val="30"/>
      <w:szCs w:val="44"/>
    </w:rPr>
  </w:style>
  <w:style w:type="paragraph" w:styleId="7">
    <w:name w:val="heading 2"/>
    <w:basedOn w:val="1"/>
    <w:next w:val="1"/>
    <w:link w:val="68"/>
    <w:qFormat/>
    <w:uiPriority w:val="0"/>
    <w:pPr>
      <w:keepNext/>
      <w:keepLines/>
      <w:numPr>
        <w:ilvl w:val="1"/>
        <w:numId w:val="1"/>
      </w:numPr>
      <w:spacing w:before="260" w:after="260" w:line="416" w:lineRule="auto"/>
      <w:outlineLvl w:val="1"/>
    </w:pPr>
    <w:rPr>
      <w:rFonts w:ascii="Arial" w:hAnsi="Arial" w:eastAsia="黑体"/>
      <w:bCs/>
      <w:sz w:val="28"/>
      <w:szCs w:val="32"/>
    </w:rPr>
  </w:style>
  <w:style w:type="paragraph" w:styleId="8">
    <w:name w:val="heading 3"/>
    <w:basedOn w:val="1"/>
    <w:next w:val="9"/>
    <w:link w:val="66"/>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10">
    <w:name w:val="heading 4"/>
    <w:basedOn w:val="1"/>
    <w:next w:val="1"/>
    <w:qFormat/>
    <w:uiPriority w:val="0"/>
    <w:pPr>
      <w:keepNext/>
      <w:outlineLvl w:val="3"/>
    </w:pPr>
    <w:rPr>
      <w:sz w:val="28"/>
      <w:szCs w:val="20"/>
    </w:rPr>
  </w:style>
  <w:style w:type="paragraph" w:styleId="11">
    <w:name w:val="heading 5"/>
    <w:basedOn w:val="1"/>
    <w:next w:val="1"/>
    <w:qFormat/>
    <w:uiPriority w:val="0"/>
    <w:pPr>
      <w:keepNext/>
      <w:keepLines/>
      <w:spacing w:before="280" w:after="290" w:line="376" w:lineRule="auto"/>
      <w:outlineLvl w:val="4"/>
    </w:pPr>
    <w:rPr>
      <w:b/>
      <w:bCs/>
      <w:sz w:val="28"/>
      <w:szCs w:val="28"/>
    </w:rPr>
  </w:style>
  <w:style w:type="paragraph" w:styleId="12">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13">
    <w:name w:val="heading 7"/>
    <w:basedOn w:val="1"/>
    <w:next w:val="1"/>
    <w:qFormat/>
    <w:uiPriority w:val="0"/>
    <w:pPr>
      <w:keepNext/>
      <w:keepLines/>
      <w:spacing w:before="240" w:after="64" w:line="320" w:lineRule="auto"/>
      <w:outlineLvl w:val="6"/>
    </w:pPr>
    <w:rPr>
      <w:b/>
      <w:bCs/>
      <w:sz w:val="24"/>
    </w:rPr>
  </w:style>
  <w:style w:type="paragraph" w:styleId="14">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5">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28"/>
      <w:szCs w:val="20"/>
    </w:rPr>
  </w:style>
  <w:style w:type="paragraph" w:customStyle="1" w:styleId="3">
    <w:name w:val="一级条标题"/>
    <w:basedOn w:val="4"/>
    <w:next w:val="5"/>
    <w:qFormat/>
    <w:uiPriority w:val="99"/>
    <w:pPr>
      <w:numPr>
        <w:ilvl w:val="2"/>
      </w:numPr>
      <w:outlineLvl w:val="2"/>
    </w:pPr>
    <w:rPr>
      <w:rFonts w:ascii="Calibri"/>
    </w:rPr>
  </w:style>
  <w:style w:type="paragraph" w:customStyle="1" w:styleId="4">
    <w:name w:val="章标题"/>
    <w:next w:val="1"/>
    <w:qFormat/>
    <w:uiPriority w:val="99"/>
    <w:pPr>
      <w:numPr>
        <w:ilvl w:val="1"/>
        <w:numId w:val="2"/>
      </w:numPr>
      <w:spacing w:beforeLines="50" w:afterLines="50"/>
      <w:jc w:val="both"/>
      <w:outlineLvl w:val="1"/>
    </w:pPr>
    <w:rPr>
      <w:rFonts w:ascii="黑体" w:hAnsi="Calibri" w:eastAsia="黑体" w:cstheme="minorBidi"/>
      <w:kern w:val="2"/>
      <w:sz w:val="21"/>
      <w:szCs w:val="21"/>
      <w:lang w:val="en-US" w:eastAsia="zh-CN" w:bidi="ar-SA"/>
    </w:rPr>
  </w:style>
  <w:style w:type="paragraph" w:customStyle="1" w:styleId="5">
    <w:name w:val="段"/>
    <w:next w:val="1"/>
    <w:qFormat/>
    <w:uiPriority w:val="0"/>
    <w:pPr>
      <w:autoSpaceDE w:val="0"/>
      <w:autoSpaceDN w:val="0"/>
      <w:ind w:firstLine="200" w:firstLineChars="200"/>
      <w:jc w:val="both"/>
    </w:pPr>
    <w:rPr>
      <w:rFonts w:ascii="宋体" w:cs="宋体" w:hAnsiTheme="minorHAnsi" w:eastAsiaTheme="minorEastAsia"/>
      <w:kern w:val="2"/>
      <w:sz w:val="21"/>
      <w:szCs w:val="21"/>
      <w:lang w:val="en-US" w:eastAsia="zh-CN" w:bidi="ar-SA"/>
    </w:rPr>
  </w:style>
  <w:style w:type="paragraph" w:styleId="9">
    <w:name w:val="Normal Indent"/>
    <w:basedOn w:val="1"/>
    <w:link w:val="71"/>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6">
    <w:name w:val="toc 7"/>
    <w:basedOn w:val="1"/>
    <w:next w:val="1"/>
    <w:unhideWhenUsed/>
    <w:qFormat/>
    <w:uiPriority w:val="39"/>
    <w:pPr>
      <w:ind w:left="2520" w:leftChars="1200"/>
    </w:pPr>
    <w:rPr>
      <w:rFonts w:ascii="Calibri" w:hAnsi="Calibri"/>
      <w:szCs w:val="22"/>
    </w:rPr>
  </w:style>
  <w:style w:type="paragraph" w:styleId="17">
    <w:name w:val="Document Map"/>
    <w:basedOn w:val="1"/>
    <w:semiHidden/>
    <w:qFormat/>
    <w:uiPriority w:val="0"/>
    <w:rPr>
      <w:rFonts w:ascii="宋体"/>
      <w:sz w:val="18"/>
      <w:szCs w:val="18"/>
    </w:rPr>
  </w:style>
  <w:style w:type="paragraph" w:styleId="18">
    <w:name w:val="annotation text"/>
    <w:basedOn w:val="1"/>
    <w:link w:val="60"/>
    <w:qFormat/>
    <w:uiPriority w:val="0"/>
    <w:pPr>
      <w:jc w:val="left"/>
    </w:pPr>
    <w:rPr>
      <w:szCs w:val="20"/>
    </w:rPr>
  </w:style>
  <w:style w:type="paragraph" w:styleId="19">
    <w:name w:val="Body Text 3"/>
    <w:basedOn w:val="1"/>
    <w:link w:val="65"/>
    <w:qFormat/>
    <w:uiPriority w:val="0"/>
    <w:pPr>
      <w:spacing w:after="120"/>
    </w:pPr>
    <w:rPr>
      <w:sz w:val="16"/>
      <w:szCs w:val="16"/>
    </w:rPr>
  </w:style>
  <w:style w:type="paragraph" w:styleId="20">
    <w:name w:val="Body Text Indent"/>
    <w:basedOn w:val="1"/>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21">
    <w:name w:val="List 2"/>
    <w:basedOn w:val="1"/>
    <w:qFormat/>
    <w:uiPriority w:val="0"/>
    <w:pPr>
      <w:ind w:left="100" w:leftChars="200" w:hanging="200" w:hangingChars="200"/>
    </w:pPr>
  </w:style>
  <w:style w:type="paragraph" w:styleId="22">
    <w:name w:val="toc 5"/>
    <w:basedOn w:val="1"/>
    <w:next w:val="1"/>
    <w:unhideWhenUsed/>
    <w:qFormat/>
    <w:uiPriority w:val="39"/>
    <w:pPr>
      <w:ind w:left="1680" w:leftChars="800"/>
    </w:pPr>
    <w:rPr>
      <w:rFonts w:ascii="Calibri" w:hAnsi="Calibri"/>
      <w:szCs w:val="22"/>
    </w:rPr>
  </w:style>
  <w:style w:type="paragraph" w:styleId="23">
    <w:name w:val="toc 3"/>
    <w:basedOn w:val="1"/>
    <w:next w:val="1"/>
    <w:qFormat/>
    <w:uiPriority w:val="39"/>
    <w:pPr>
      <w:tabs>
        <w:tab w:val="left" w:pos="1400"/>
        <w:tab w:val="right" w:leader="dot" w:pos="9060"/>
      </w:tabs>
      <w:autoSpaceDE w:val="0"/>
      <w:autoSpaceDN w:val="0"/>
      <w:adjustRightInd w:val="0"/>
      <w:spacing w:line="315" w:lineRule="atLeast"/>
      <w:ind w:left="800"/>
      <w:jc w:val="left"/>
    </w:pPr>
    <w:rPr>
      <w:rFonts w:asciiTheme="majorEastAsia" w:hAnsiTheme="majorEastAsia" w:eastAsiaTheme="majorEastAsia"/>
      <w:bCs/>
      <w:kern w:val="0"/>
      <w:sz w:val="20"/>
      <w:szCs w:val="20"/>
    </w:rPr>
  </w:style>
  <w:style w:type="paragraph" w:styleId="24">
    <w:name w:val="Plain Text"/>
    <w:basedOn w:val="1"/>
    <w:qFormat/>
    <w:uiPriority w:val="0"/>
    <w:rPr>
      <w:rFonts w:ascii="宋体" w:hAnsi="Courier New"/>
      <w:szCs w:val="20"/>
    </w:rPr>
  </w:style>
  <w:style w:type="paragraph" w:styleId="25">
    <w:name w:val="toc 8"/>
    <w:basedOn w:val="1"/>
    <w:next w:val="1"/>
    <w:unhideWhenUsed/>
    <w:qFormat/>
    <w:uiPriority w:val="39"/>
    <w:pPr>
      <w:ind w:left="2940" w:leftChars="1400"/>
    </w:pPr>
    <w:rPr>
      <w:rFonts w:ascii="Calibri" w:hAnsi="Calibri"/>
      <w:szCs w:val="22"/>
    </w:rPr>
  </w:style>
  <w:style w:type="paragraph" w:styleId="26">
    <w:name w:val="Date"/>
    <w:basedOn w:val="1"/>
    <w:next w:val="1"/>
    <w:qFormat/>
    <w:uiPriority w:val="0"/>
    <w:pPr>
      <w:ind w:left="100" w:leftChars="2500"/>
    </w:pPr>
    <w:rPr>
      <w:szCs w:val="20"/>
    </w:rPr>
  </w:style>
  <w:style w:type="paragraph" w:styleId="27">
    <w:name w:val="Body Text Indent 2"/>
    <w:basedOn w:val="1"/>
    <w:qFormat/>
    <w:uiPriority w:val="0"/>
    <w:pPr>
      <w:spacing w:line="480" w:lineRule="auto"/>
      <w:ind w:firstLine="480" w:firstLineChars="200"/>
    </w:pPr>
    <w:rPr>
      <w:rFonts w:ascii="仿宋_GB2312" w:hAnsi="宋体" w:eastAsia="仿宋_GB2312"/>
      <w:sz w:val="24"/>
    </w:rPr>
  </w:style>
  <w:style w:type="paragraph" w:styleId="28">
    <w:name w:val="Balloon Text"/>
    <w:basedOn w:val="1"/>
    <w:semiHidden/>
    <w:qFormat/>
    <w:uiPriority w:val="0"/>
    <w:rPr>
      <w:sz w:val="18"/>
      <w:szCs w:val="18"/>
    </w:rPr>
  </w:style>
  <w:style w:type="paragraph" w:styleId="29">
    <w:name w:val="footer"/>
    <w:basedOn w:val="1"/>
    <w:link w:val="67"/>
    <w:qFormat/>
    <w:uiPriority w:val="0"/>
    <w:pPr>
      <w:tabs>
        <w:tab w:val="center" w:pos="4153"/>
        <w:tab w:val="right" w:pos="8306"/>
      </w:tabs>
      <w:snapToGrid w:val="0"/>
      <w:jc w:val="left"/>
    </w:pPr>
    <w:rPr>
      <w:sz w:val="18"/>
      <w:szCs w:val="18"/>
    </w:rPr>
  </w:style>
  <w:style w:type="paragraph" w:styleId="3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tabs>
        <w:tab w:val="left" w:pos="851"/>
        <w:tab w:val="right" w:leader="dot" w:pos="9072"/>
      </w:tabs>
      <w:autoSpaceDE w:val="0"/>
      <w:autoSpaceDN w:val="0"/>
      <w:adjustRightInd w:val="0"/>
      <w:spacing w:before="120" w:after="120" w:line="315" w:lineRule="atLeast"/>
      <w:ind w:right="120"/>
      <w:jc w:val="right"/>
    </w:pPr>
    <w:rPr>
      <w:rFonts w:eastAsia="黑体"/>
      <w:caps/>
      <w:kern w:val="0"/>
      <w:szCs w:val="21"/>
    </w:rPr>
  </w:style>
  <w:style w:type="paragraph" w:styleId="32">
    <w:name w:val="toc 4"/>
    <w:basedOn w:val="1"/>
    <w:next w:val="1"/>
    <w:unhideWhenUsed/>
    <w:qFormat/>
    <w:uiPriority w:val="39"/>
    <w:pPr>
      <w:ind w:left="1260" w:leftChars="600"/>
    </w:pPr>
    <w:rPr>
      <w:rFonts w:ascii="Calibri" w:hAnsi="Calibri"/>
      <w:szCs w:val="22"/>
    </w:rPr>
  </w:style>
  <w:style w:type="paragraph" w:styleId="33">
    <w:name w:val="toc 6"/>
    <w:basedOn w:val="1"/>
    <w:next w:val="1"/>
    <w:unhideWhenUsed/>
    <w:qFormat/>
    <w:uiPriority w:val="39"/>
    <w:pPr>
      <w:ind w:left="2100" w:leftChars="1000"/>
    </w:pPr>
    <w:rPr>
      <w:rFonts w:ascii="Calibri" w:hAnsi="Calibri"/>
      <w:szCs w:val="22"/>
    </w:rPr>
  </w:style>
  <w:style w:type="paragraph" w:styleId="34">
    <w:name w:val="Body Text Indent 3"/>
    <w:basedOn w:val="1"/>
    <w:qFormat/>
    <w:uiPriority w:val="0"/>
    <w:pPr>
      <w:spacing w:after="120" w:line="360" w:lineRule="atLeast"/>
      <w:ind w:firstLine="720" w:firstLineChars="300"/>
    </w:pPr>
    <w:rPr>
      <w:sz w:val="24"/>
      <w:szCs w:val="20"/>
    </w:rPr>
  </w:style>
  <w:style w:type="paragraph" w:styleId="35">
    <w:name w:val="toc 2"/>
    <w:basedOn w:val="1"/>
    <w:next w:val="1"/>
    <w:qFormat/>
    <w:uiPriority w:val="39"/>
    <w:pPr>
      <w:tabs>
        <w:tab w:val="right" w:leader="dot" w:pos="9540"/>
      </w:tabs>
      <w:autoSpaceDE w:val="0"/>
      <w:autoSpaceDN w:val="0"/>
      <w:adjustRightInd w:val="0"/>
      <w:spacing w:line="315" w:lineRule="atLeast"/>
      <w:ind w:left="900"/>
      <w:jc w:val="left"/>
    </w:pPr>
    <w:rPr>
      <w:rFonts w:ascii="宋体" w:hAnsi="宋体"/>
      <w:smallCaps/>
      <w:color w:val="000000"/>
      <w:kern w:val="0"/>
      <w:sz w:val="20"/>
      <w:szCs w:val="20"/>
    </w:rPr>
  </w:style>
  <w:style w:type="paragraph" w:styleId="36">
    <w:name w:val="toc 9"/>
    <w:basedOn w:val="1"/>
    <w:next w:val="1"/>
    <w:unhideWhenUsed/>
    <w:qFormat/>
    <w:uiPriority w:val="39"/>
    <w:pPr>
      <w:ind w:left="3360" w:leftChars="1600"/>
    </w:pPr>
    <w:rPr>
      <w:rFonts w:ascii="Calibri" w:hAnsi="Calibri"/>
      <w:szCs w:val="22"/>
    </w:rPr>
  </w:style>
  <w:style w:type="paragraph" w:styleId="3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8">
    <w:name w:val="Title"/>
    <w:basedOn w:val="1"/>
    <w:next w:val="1"/>
    <w:qFormat/>
    <w:uiPriority w:val="0"/>
    <w:pPr>
      <w:spacing w:before="240" w:after="60"/>
      <w:jc w:val="center"/>
      <w:outlineLvl w:val="0"/>
    </w:pPr>
    <w:rPr>
      <w:rFonts w:ascii="Cambria" w:hAnsi="Cambria"/>
      <w:b/>
      <w:bCs/>
      <w:sz w:val="32"/>
      <w:szCs w:val="32"/>
    </w:rPr>
  </w:style>
  <w:style w:type="paragraph" w:styleId="39">
    <w:name w:val="annotation subject"/>
    <w:basedOn w:val="18"/>
    <w:next w:val="18"/>
    <w:link w:val="61"/>
    <w:semiHidden/>
    <w:qFormat/>
    <w:uiPriority w:val="0"/>
    <w:rPr>
      <w:b/>
      <w:bCs/>
    </w:rPr>
  </w:style>
  <w:style w:type="character" w:styleId="42">
    <w:name w:val="Strong"/>
    <w:qFormat/>
    <w:uiPriority w:val="22"/>
    <w:rPr>
      <w:b/>
      <w:bCs/>
    </w:rPr>
  </w:style>
  <w:style w:type="character" w:styleId="43">
    <w:name w:val="page number"/>
    <w:basedOn w:val="41"/>
    <w:qFormat/>
    <w:uiPriority w:val="0"/>
  </w:style>
  <w:style w:type="character" w:styleId="44">
    <w:name w:val="Hyperlink"/>
    <w:unhideWhenUsed/>
    <w:qFormat/>
    <w:uiPriority w:val="99"/>
    <w:rPr>
      <w:color w:val="0000FF"/>
      <w:u w:val="single"/>
    </w:rPr>
  </w:style>
  <w:style w:type="character" w:styleId="45">
    <w:name w:val="annotation reference"/>
    <w:qFormat/>
    <w:uiPriority w:val="0"/>
    <w:rPr>
      <w:sz w:val="21"/>
      <w:szCs w:val="21"/>
    </w:rPr>
  </w:style>
  <w:style w:type="paragraph" w:customStyle="1" w:styleId="46">
    <w:name w:val="Fließtext"/>
    <w:basedOn w:val="1"/>
    <w:qFormat/>
    <w:uiPriority w:val="0"/>
    <w:pPr>
      <w:overflowPunct w:val="0"/>
      <w:autoSpaceDE w:val="0"/>
      <w:autoSpaceDN w:val="0"/>
      <w:adjustRightInd w:val="0"/>
      <w:textAlignment w:val="baseline"/>
    </w:pPr>
    <w:rPr>
      <w:kern w:val="28"/>
      <w:szCs w:val="20"/>
    </w:rPr>
  </w:style>
  <w:style w:type="character" w:customStyle="1" w:styleId="47">
    <w:name w:val="Char Char1"/>
    <w:qFormat/>
    <w:uiPriority w:val="0"/>
    <w:rPr>
      <w:rFonts w:ascii="楷体_GB2312" w:eastAsia="楷体_GB2312"/>
      <w:sz w:val="28"/>
    </w:rPr>
  </w:style>
  <w:style w:type="character" w:customStyle="1" w:styleId="48">
    <w:name w:val="标题 Char"/>
    <w:qFormat/>
    <w:uiPriority w:val="0"/>
    <w:rPr>
      <w:rFonts w:ascii="Cambria" w:hAnsi="Cambria" w:cs="Times New Roman"/>
      <w:b/>
      <w:bCs/>
      <w:kern w:val="2"/>
      <w:sz w:val="32"/>
      <w:szCs w:val="32"/>
    </w:rPr>
  </w:style>
  <w:style w:type="character" w:customStyle="1" w:styleId="49">
    <w:name w:val="标题 1 Char"/>
    <w:qFormat/>
    <w:uiPriority w:val="0"/>
    <w:rPr>
      <w:rFonts w:ascii="黑体"/>
      <w:b/>
      <w:kern w:val="44"/>
      <w:sz w:val="32"/>
    </w:rPr>
  </w:style>
  <w:style w:type="paragraph" w:customStyle="1" w:styleId="50">
    <w:name w:val="TOC 标题1"/>
    <w:basedOn w:val="6"/>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51">
    <w:name w:val="List Paragraph"/>
    <w:basedOn w:val="1"/>
    <w:qFormat/>
    <w:uiPriority w:val="0"/>
    <w:pPr>
      <w:ind w:firstLine="420" w:firstLineChars="200"/>
    </w:pPr>
    <w:rPr>
      <w:szCs w:val="20"/>
    </w:rPr>
  </w:style>
  <w:style w:type="character" w:customStyle="1" w:styleId="52">
    <w:name w:val="正文文本缩进 Char"/>
    <w:qFormat/>
    <w:uiPriority w:val="0"/>
    <w:rPr>
      <w:rFonts w:ascii="楷体_GB2312" w:eastAsia="楷体_GB2312"/>
      <w:sz w:val="28"/>
    </w:rPr>
  </w:style>
  <w:style w:type="paragraph" w:customStyle="1" w:styleId="53">
    <w:name w:val="Char Char Char Char Char Char Char Char Char Char Char Char Char"/>
    <w:basedOn w:val="17"/>
    <w:qFormat/>
    <w:uiPriority w:val="0"/>
    <w:pPr>
      <w:shd w:val="clear" w:color="auto" w:fill="000080"/>
    </w:pPr>
    <w:rPr>
      <w:rFonts w:ascii="Tahoma" w:hAnsi="Tahoma"/>
      <w:sz w:val="24"/>
      <w:szCs w:val="24"/>
    </w:rPr>
  </w:style>
  <w:style w:type="character" w:customStyle="1" w:styleId="54">
    <w:name w:val="Char Char"/>
    <w:qFormat/>
    <w:uiPriority w:val="0"/>
    <w:rPr>
      <w:rFonts w:ascii="宋体"/>
      <w:kern w:val="2"/>
      <w:sz w:val="18"/>
      <w:szCs w:val="18"/>
    </w:rPr>
  </w:style>
  <w:style w:type="paragraph" w:customStyle="1" w:styleId="5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6">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57">
    <w:name w:val="访问过的超链接1"/>
    <w:qFormat/>
    <w:uiPriority w:val="0"/>
    <w:rPr>
      <w:color w:val="800080"/>
      <w:u w:val="single"/>
    </w:rPr>
  </w:style>
  <w:style w:type="paragraph" w:customStyle="1" w:styleId="58">
    <w:name w:val="bt1bt1"/>
    <w:basedOn w:val="6"/>
    <w:qFormat/>
    <w:uiPriority w:val="0"/>
    <w:pPr>
      <w:spacing w:line="240" w:lineRule="auto"/>
    </w:pPr>
    <w:rPr>
      <w:rFonts w:ascii="黑体"/>
      <w:sz w:val="36"/>
      <w:szCs w:val="36"/>
    </w:rPr>
  </w:style>
  <w:style w:type="paragraph" w:customStyle="1" w:styleId="59">
    <w:name w:val="新定义正文"/>
    <w:basedOn w:val="1"/>
    <w:qFormat/>
    <w:uiPriority w:val="0"/>
    <w:pPr>
      <w:widowControl/>
    </w:pPr>
    <w:rPr>
      <w:color w:val="000000"/>
      <w:szCs w:val="21"/>
    </w:rPr>
  </w:style>
  <w:style w:type="character" w:customStyle="1" w:styleId="60">
    <w:name w:val="批注文字 Char"/>
    <w:link w:val="18"/>
    <w:qFormat/>
    <w:uiPriority w:val="99"/>
    <w:rPr>
      <w:rFonts w:eastAsia="宋体"/>
      <w:kern w:val="2"/>
      <w:sz w:val="21"/>
      <w:lang w:val="en-US" w:eastAsia="zh-CN" w:bidi="ar-SA"/>
    </w:rPr>
  </w:style>
  <w:style w:type="character" w:customStyle="1" w:styleId="61">
    <w:name w:val="批注主题 Char"/>
    <w:link w:val="39"/>
    <w:qFormat/>
    <w:uiPriority w:val="0"/>
    <w:rPr>
      <w:rFonts w:eastAsia="宋体"/>
      <w:b/>
      <w:bCs/>
      <w:kern w:val="2"/>
      <w:sz w:val="21"/>
      <w:lang w:val="en-US" w:eastAsia="zh-CN" w:bidi="ar-SA"/>
    </w:rPr>
  </w:style>
  <w:style w:type="paragraph" w:customStyle="1" w:styleId="62">
    <w:name w:val="节"/>
    <w:basedOn w:val="7"/>
    <w:qFormat/>
    <w:uiPriority w:val="0"/>
    <w:pPr>
      <w:spacing w:line="240" w:lineRule="auto"/>
    </w:pPr>
    <w:rPr>
      <w:rFonts w:ascii="黑体"/>
      <w:szCs w:val="28"/>
    </w:rPr>
  </w:style>
  <w:style w:type="paragraph" w:customStyle="1" w:styleId="63">
    <w:name w:val="蓝色显示"/>
    <w:basedOn w:val="1"/>
    <w:link w:val="64"/>
    <w:qFormat/>
    <w:uiPriority w:val="0"/>
    <w:pPr>
      <w:spacing w:before="340" w:after="330" w:line="400" w:lineRule="exact"/>
    </w:pPr>
    <w:rPr>
      <w:b/>
      <w:color w:val="0070C0"/>
    </w:rPr>
  </w:style>
  <w:style w:type="character" w:customStyle="1" w:styleId="64">
    <w:name w:val="蓝色显示 Char"/>
    <w:link w:val="63"/>
    <w:qFormat/>
    <w:uiPriority w:val="0"/>
    <w:rPr>
      <w:b/>
      <w:color w:val="0070C0"/>
      <w:kern w:val="2"/>
      <w:sz w:val="21"/>
      <w:szCs w:val="24"/>
    </w:rPr>
  </w:style>
  <w:style w:type="character" w:customStyle="1" w:styleId="65">
    <w:name w:val="正文文本 3 Char"/>
    <w:basedOn w:val="41"/>
    <w:link w:val="19"/>
    <w:qFormat/>
    <w:uiPriority w:val="0"/>
    <w:rPr>
      <w:kern w:val="2"/>
      <w:sz w:val="16"/>
      <w:szCs w:val="16"/>
    </w:rPr>
  </w:style>
  <w:style w:type="character" w:customStyle="1" w:styleId="66">
    <w:name w:val="标题 3 Char"/>
    <w:link w:val="8"/>
    <w:qFormat/>
    <w:uiPriority w:val="0"/>
    <w:rPr>
      <w:rFonts w:ascii="黑体" w:eastAsia="黑体"/>
      <w:sz w:val="28"/>
    </w:rPr>
  </w:style>
  <w:style w:type="character" w:customStyle="1" w:styleId="67">
    <w:name w:val="页脚 Char"/>
    <w:link w:val="29"/>
    <w:qFormat/>
    <w:uiPriority w:val="0"/>
    <w:rPr>
      <w:kern w:val="2"/>
      <w:sz w:val="18"/>
      <w:szCs w:val="18"/>
    </w:rPr>
  </w:style>
  <w:style w:type="character" w:customStyle="1" w:styleId="68">
    <w:name w:val="标题 2 Char"/>
    <w:basedOn w:val="41"/>
    <w:link w:val="7"/>
    <w:qFormat/>
    <w:uiPriority w:val="0"/>
    <w:rPr>
      <w:rFonts w:ascii="Arial" w:hAnsi="Arial" w:eastAsia="黑体"/>
      <w:bCs/>
      <w:kern w:val="2"/>
      <w:sz w:val="28"/>
      <w:szCs w:val="32"/>
    </w:rPr>
  </w:style>
  <w:style w:type="paragraph" w:customStyle="1" w:styleId="69">
    <w:name w:val="标题3"/>
    <w:basedOn w:val="9"/>
    <w:link w:val="72"/>
    <w:qFormat/>
    <w:uiPriority w:val="0"/>
    <w:pPr>
      <w:numPr>
        <w:ilvl w:val="0"/>
        <w:numId w:val="3"/>
      </w:numPr>
      <w:spacing w:line="240" w:lineRule="auto"/>
    </w:pPr>
    <w:rPr>
      <w:rFonts w:ascii="宋体" w:hAnsi="宋体" w:eastAsia="宋体"/>
      <w:color w:val="000000"/>
      <w:sz w:val="21"/>
      <w:szCs w:val="21"/>
    </w:rPr>
  </w:style>
  <w:style w:type="paragraph" w:customStyle="1" w:styleId="70">
    <w:name w:val="正文00"/>
    <w:basedOn w:val="1"/>
    <w:qFormat/>
    <w:uiPriority w:val="0"/>
    <w:pPr>
      <w:topLinePunct/>
      <w:spacing w:line="360" w:lineRule="auto"/>
      <w:ind w:firstLine="200" w:firstLineChars="200"/>
    </w:pPr>
    <w:rPr>
      <w:sz w:val="24"/>
      <w:szCs w:val="21"/>
    </w:rPr>
  </w:style>
  <w:style w:type="character" w:customStyle="1" w:styleId="71">
    <w:name w:val="正文缩进 Char"/>
    <w:basedOn w:val="41"/>
    <w:link w:val="9"/>
    <w:qFormat/>
    <w:uiPriority w:val="0"/>
    <w:rPr>
      <w:rFonts w:ascii="楷体_GB2312" w:eastAsia="楷体_GB2312"/>
      <w:sz w:val="28"/>
    </w:rPr>
  </w:style>
  <w:style w:type="character" w:customStyle="1" w:styleId="72">
    <w:name w:val="标题3 Char"/>
    <w:basedOn w:val="71"/>
    <w:link w:val="69"/>
    <w:qFormat/>
    <w:uiPriority w:val="0"/>
    <w:rPr>
      <w:rFonts w:ascii="宋体" w:hAnsi="宋体" w:eastAsia="楷体_GB2312"/>
      <w:color w:val="000000"/>
      <w:sz w:val="21"/>
      <w:szCs w:val="21"/>
    </w:rPr>
  </w:style>
  <w:style w:type="paragraph" w:customStyle="1" w:styleId="73">
    <w:name w:val="msolistparagraph"/>
    <w:basedOn w:val="1"/>
    <w:qFormat/>
    <w:uiPriority w:val="0"/>
    <w:pPr>
      <w:ind w:firstLine="420" w:firstLineChars="200"/>
    </w:pPr>
    <w:rPr>
      <w:szCs w:val="20"/>
    </w:rPr>
  </w:style>
  <w:style w:type="paragraph" w:customStyle="1" w:styleId="74">
    <w:name w:val="TOC 标题2"/>
    <w:basedOn w:val="6"/>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miit</Company>
  <Pages>31</Pages>
  <Words>3936</Words>
  <Characters>4377</Characters>
  <Lines>206</Lines>
  <Paragraphs>58</Paragraphs>
  <TotalTime>53</TotalTime>
  <ScaleCrop>false</ScaleCrop>
  <LinksUpToDate>false</LinksUpToDate>
  <CharactersWithSpaces>4627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2025-11-04T01:51:00Z</dcterms:created>
  <dc:creator>mj</dc:creator>
  <cp:lastModifiedBy>其实不然</cp:lastModifiedBy>
  <cp:lastPrinted>2017-04-10T13:36:00Z</cp:lastPrinted>
  <dcterms:modified xsi:type="dcterms:W3CDTF">2025-11-09T11:55:08Z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3A10A2557A10478EA4AB4ED4BE74E76E_13</vt:lpwstr>
  </property>
  <property fmtid="{D5CDD505-2E9C-101B-9397-08002B2CF9AE}" pid="4" name="KSOTemplateDocerSaveRecord">
    <vt:lpwstr>eyJoZGlkIjoiZTlkYmIwZmFiNTA0NTc1N2Q4NzIwMjY4ZmUwOWYyYTIiLCJ1c2VySWQiOiIyNjE0NTk4NTcifQ==</vt:lpwstr>
  </property>
</Properties>
</file>